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61fb43742cc74ce9" /></Relationships>
</file>

<file path=word/document.xml><?xml version="1.0" encoding="utf-8"?>
<w:document xmlns:r="http://schemas.openxmlformats.org/officeDocument/2006/relationships" xmlns:w="http://schemas.openxmlformats.org/wordprocessingml/2006/main">
  <w:body>
    <w:p>
      <w:pPr>
        <w:pStyle w:val="Title"/>
      </w:pPr>
      <w:r>
        <w:t>Mental illness prevention mental health service type cluster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Mental illness prevention mental health service type cluster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Set Specification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494850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9a10d2fec84528">
              <w:r>
                <w:rPr>
                  <w:rStyle w:val="Hyperlink"/>
                  <w:color w:val="244061"/>
                </w:rPr>
                <w:t xml:space="preserve">Health</w:t>
              </w:r>
            </w:hyperlink>
            <w:r>
              <w:rPr>
                <w:rStyle w:val="row-content"/>
                <w:color w:val="244061"/>
              </w:rPr>
              <w:t xml:space="preserve">, Standard 13/11/2014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DSS type:</w:t>
            </w:r>
          </w:p>
        </w:tc>
        <w:tc>
          <w:tcPr>
            <w:tcBorders>
              <w:top w:val="none" w:color="000000" w:sz="0"/>
              <w:left w:val="none" w:color="000000" w:sz="0"/>
              <w:bottom w:val="none" w:color="000000" w:sz="0"/>
              <w:right w:val="none" w:color="000000" w:sz="0"/>
            </w:tcBorders>
            <w:vAlign w:val="top"/>
          </w:tcPr>
          <w:p>
            <w:pPr/>
            <w:r>
              <w:rPr>
                <w:rStyle w:val="row-content-rich-text"/>
              </w:rPr>
              <w:t xml:space="preserve">Data Element Cluster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Scope:</w:t>
            </w:r>
          </w:p>
        </w:tc>
        <w:tc>
          <w:tcPr>
            <w:tcBorders>
              <w:top w:val="none" w:color="000000" w:sz="0"/>
              <w:left w:val="none" w:color="000000" w:sz="0"/>
              <w:bottom w:val="none" w:color="000000" w:sz="0"/>
              <w:right w:val="none" w:color="000000" w:sz="0"/>
            </w:tcBorders>
            <w:vAlign w:val="top"/>
          </w:tcPr>
          <w:p>
            <w:pPr/>
            <w:r>
              <w:rPr>
                <w:rStyle w:val="row-content-rich-text"/>
              </w:rPr>
              <w:t xml:space="preserve">This data element cluster describes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0ef52b23b8c64e42">
              <w:r>
                <w:rPr>
                  <w:rStyle w:val="Hyperlink"/>
                  <w:b/>
                </w:rPr>
                <w:t xml:space="preserve">Mental illness prevention</w:t>
              </w:r>
            </w:hyperlink>
            <w:r>
              <w:rPr>
                <w:rStyle w:val="row-content-rich-text"/>
              </w:rPr>
              <w:t xml:space="preserve"> activities in a mental health non-government organisation service.</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326eceac34ca4644">
              <w:r>
                <w:rPr>
                  <w:rStyle w:val="Hyperlink"/>
                </w:rPr>
                <w:t xml:space="preserve">Mental health non-government organisation establishments NBEDS 2015-</w:t>
              </w:r>
            </w:hyperlink>
          </w:p>
          <w:p>
            <w:pPr>
              <w:spacing w:before="0" w:after="0"/>
            </w:pPr>
            <w:r>
              <w:rPr>
                <w:rStyle w:val="row-content"/>
                <w:color w:val="244061"/>
              </w:rPr>
              <w:t xml:space="preserve">       </w:t>
            </w:r>
            <w:hyperlink w:history="true" r:id="R8dbcec15d967430c">
              <w:r>
                <w:rPr>
                  <w:rStyle w:val="Hyperlink"/>
                  <w:color w:val="244061"/>
                </w:rPr>
                <w:t xml:space="preserve">Health</w:t>
              </w:r>
            </w:hyperlink>
            <w:r>
              <w:rPr>
                <w:rStyle w:val="row-content"/>
                <w:color w:val="244061"/>
              </w:rPr>
              <w:t xml:space="preserve">, Standard 13/11/2014</w:t>
            </w:r>
          </w:p>
          <w:p>
            <w:r>
              <w:rPr>
                <w:rStyle w:val="row-content"/>
                <w:b/>
                <w:i/>
              </w:rPr>
              <w:t xml:space="preserve">Implementation start date: </w:t>
            </w:r>
            <w:r>
              <w:rPr>
                <w:rStyle w:val="row-content"/>
              </w:rPr>
              <w:t xml:space="preserve">01/07/2015</w:t>
            </w:r>
            <w:r>
              <w:br/>
            </w:r>
            <w:r>
              <w:rPr>
                <w:rStyle w:val="row-content"/>
                <w:b/>
                <w:i/>
              </w:rPr>
              <w:t xml:space="preserve">Conditional obligation: </w:t>
            </w:r>
          </w:p>
          <w:p>
            <w:r>
              <w:rPr>
                <w:rStyle w:val="row-content"/>
              </w:rPr>
              <w:t xml:space="preserve">Data are only to be reported for this data element cluster if the reporting organisation provides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8fac8e8fbc8a4974">
              <w:r>
                <w:rPr>
                  <w:rStyle w:val="Hyperlink"/>
                  <w:b/>
                </w:rPr>
                <w:t xml:space="preserve">Mental illness prevention</w:t>
              </w:r>
            </w:hyperlink>
            <w:r>
              <w:rPr>
                <w:rStyle w:val="row-content"/>
              </w:rPr>
              <w:t xml:space="preserve"> services.</w:t>
            </w:r>
          </w:p>
          <w:p>
            <w:r>
              <w:br/>
            </w:r>
            <w:r>
              <w:br/>
            </w:r>
          </w:p>
        </w:tc>
      </w:tr>
    </w:tbl>
    <w:p/>
    <w:tbl>
      <w:tblPr>
        <w:tblStyle w:val="TableGrid"/>
        <w:tblW w:w="0" w:type="auto"/>
      </w:tblPr>
      <w:tblGrid>
        <w:gridCol/>
      </w:tblGrid>
      <w:tr>
        <w:trPr/>
        <w:tc>
          <w:tcPr>
            <w:tcBorders>
              <w:top w:val="none" w:color="000000" w:sz="0"/>
              <w:left w:val="none" w:color="000000" w:sz="0"/>
              <w:bottom w:val="none" w:color="000000" w:sz="0"/>
              <w:right w:val="none" w:color="000000" w:sz="0"/>
            </w:tcBorders>
            <w:vAlign w:val="top"/>
            <w:tcMar>
              <w:top w:w="200"/>
              <w:bottom w:w="100"/>
            </w:tcMar>
          </w:tcPr>
          <w:p>
            <w:pPr>
              <w:pStyle w:val="Heading3"/>
            </w:pPr>
            <w:r>
              <w:t xml:space="preserve">Metadata items in this Data Set Specification</w:t>
            </w:r>
            <w:r>
              <w:t xml:space="preserve"> </w:t>
            </w:r>
          </w:p>
        </w:tc>
      </w:tr>
      <w:tr>
        <w:trPr/>
        <w:tc>
          <w:tcPr>
            <w:tcBorders>
              <w:top w:val="none" w:color="000000" w:sz="0"/>
              <w:left w:val="none" w:color="000000" w:sz="0"/>
              <w:bottom w:val="none" w:color="000000" w:sz="0"/>
              <w:right w:val="none" w:color="000000" w:sz="0"/>
            </w:tcBorders>
            <w:vAlign w:val="top"/>
          </w:tcPr>
          <w:tbl>
            <w:tblPr>
              <w:tblStyle w:val="TableGrid"/>
              <w:tblW w:w="0" w:type="auto"/>
              <w:tblCellMar>
                <w:top w:w="0" w:type="dxa"/>
              </w:tblCellMar>
            </w:tblPr>
            <w:tblGrid>
              <w:gridCol/>
              <w:gridCol/>
              <w:gridCol/>
              <w:gridCol/>
            </w:tblGrid>
            <w:tr>
              <w:trPr/>
              <w:tc>
                <w:tcPr>
                  <w:tcBorders>
                    <w:top w:val="none" w:color="000000" w:sz="0"/>
                    <w:left w:val="none" w:color="000000" w:sz="0"/>
                    <w:bottom w:val="none" w:color="000000" w:sz="0"/>
                    <w:right w:val="none" w:color="000000" w:sz="0"/>
                  </w:tcBorders>
                  <w:vAlign w:val="top"/>
                </w:tcPr>
                <w:p>
                  <w:r>
                    <w:t xml:space="preserve">Seq No.</w:t>
                  </w:r>
                </w:p>
              </w:tc>
              <w:tc>
                <w:tcPr>
                  <w:tcBorders>
                    <w:top w:val="none" w:color="000000" w:sz="0"/>
                    <w:left w:val="none" w:color="000000" w:sz="0"/>
                    <w:bottom w:val="none" w:color="000000" w:sz="0"/>
                    <w:right w:val="none" w:color="000000" w:sz="0"/>
                  </w:tcBorders>
                  <w:vAlign w:val="top"/>
                </w:tcPr>
                <w:p>
                  <w:r>
                    <w:t xml:space="preserve">Metadata item</w:t>
                  </w:r>
                </w:p>
              </w:tc>
              <w:tc>
                <w:tcPr>
                  <w:tcBorders>
                    <w:top w:val="none" w:color="000000" w:sz="0"/>
                    <w:left w:val="none" w:color="000000" w:sz="0"/>
                    <w:bottom w:val="none" w:color="000000" w:sz="0"/>
                    <w:right w:val="none" w:color="000000" w:sz="0"/>
                  </w:tcBorders>
                  <w:vAlign w:val="top"/>
                </w:tcPr>
                <w:p>
                  <w:r>
                    <w:t xml:space="preserve">Obligation</w:t>
                  </w:r>
                </w:p>
              </w:tc>
              <w:tc>
                <w:tcPr>
                  <w:tcBorders>
                    <w:top w:val="none" w:color="000000" w:sz="0"/>
                    <w:left w:val="none" w:color="000000" w:sz="0"/>
                    <w:bottom w:val="none" w:color="000000" w:sz="0"/>
                    <w:right w:val="none" w:color="000000" w:sz="0"/>
                  </w:tcBorders>
                  <w:vAlign w:val="top"/>
                </w:tcPr>
                <w:p>
                  <w:r>
                    <w:t xml:space="preserve">Max occurs</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1</w:t>
                  </w:r>
                </w:p>
              </w:tc>
              <w:tc>
                <w:tcPr>
                  <w:tcBorders>
                    <w:top w:val="none" w:color="000000" w:sz="0"/>
                    <w:left w:val="none" w:color="000000" w:sz="0"/>
                    <w:bottom w:val="none" w:color="000000" w:sz="0"/>
                    <w:right w:val="none" w:color="000000" w:sz="0"/>
                  </w:tcBorders>
                  <w:tcMar/>
                  <w:vAlign w:val="top"/>
                </w:tcPr>
                <w:p>
                  <w:hyperlink w:history="true" r:id="Reb4a9a0798544743">
                    <w:r>
                      <w:rPr>
                        <w:rStyle w:val="Hyperlink"/>
                      </w:rPr>
                      <w:t xml:space="preserve">Service provider organisation—source of funding, government authority mental health identifier code NNN</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2</w:t>
                  </w:r>
                </w:p>
              </w:tc>
              <w:tc>
                <w:tcPr>
                  <w:tcBorders>
                    <w:top w:val="none" w:color="000000" w:sz="0"/>
                    <w:left w:val="none" w:color="000000" w:sz="0"/>
                    <w:bottom w:val="none" w:color="000000" w:sz="0"/>
                    <w:right w:val="none" w:color="000000" w:sz="0"/>
                  </w:tcBorders>
                  <w:tcMar/>
                  <w:vAlign w:val="top"/>
                </w:tcPr>
                <w:p>
                  <w:hyperlink w:history="true" r:id="R734eaa77fe844d81">
                    <w:r>
                      <w:rPr>
                        <w:rStyle w:val="Hyperlink"/>
                      </w:rPr>
                      <w:t xml:space="preserve">Entity—Australian business number (ABN), identifier N(11)</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3</w:t>
                  </w:r>
                </w:p>
              </w:tc>
              <w:tc>
                <w:tcPr>
                  <w:tcBorders>
                    <w:top w:val="none" w:color="000000" w:sz="0"/>
                    <w:left w:val="none" w:color="000000" w:sz="0"/>
                    <w:bottom w:val="none" w:color="000000" w:sz="0"/>
                    <w:right w:val="none" w:color="000000" w:sz="0"/>
                  </w:tcBorders>
                  <w:tcMar/>
                  <w:vAlign w:val="top"/>
                </w:tcPr>
                <w:p>
                  <w:hyperlink w:history="true" r:id="R36a085fb3b004de6">
                    <w:r>
                      <w:rPr>
                        <w:rStyle w:val="Hyperlink"/>
                      </w:rPr>
                      <w:t xml:space="preserve">Service provider organisation—program name, text X[X(99)]</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4</w:t>
                  </w:r>
                </w:p>
              </w:tc>
              <w:tc>
                <w:tcPr>
                  <w:tcBorders>
                    <w:top w:val="none" w:color="000000" w:sz="0"/>
                    <w:left w:val="none" w:color="000000" w:sz="0"/>
                    <w:bottom w:val="none" w:color="000000" w:sz="0"/>
                    <w:right w:val="none" w:color="000000" w:sz="0"/>
                  </w:tcBorders>
                  <w:tcMar/>
                  <w:vAlign w:val="top"/>
                </w:tcPr>
                <w:p>
                  <w:hyperlink w:history="true" r:id="Rb1801b237724464c">
                    <w:r>
                      <w:rPr>
                        <w:rStyle w:val="Hyperlink"/>
                      </w:rPr>
                      <w:t xml:space="preserve">Service provider organisation—mental health funding provided to non-government organisations from government authorities, total Australian currency N[N(8)]</w:t>
                    </w:r>
                  </w:hyperlink>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5</w:t>
                  </w:r>
                </w:p>
              </w:tc>
              <w:tc>
                <w:tcPr>
                  <w:tcBorders>
                    <w:top w:val="none" w:color="000000" w:sz="0"/>
                    <w:left w:val="none" w:color="000000" w:sz="0"/>
                    <w:bottom w:val="none" w:color="000000" w:sz="0"/>
                    <w:right w:val="none" w:color="000000" w:sz="0"/>
                  </w:tcBorders>
                  <w:tcMar/>
                  <w:vAlign w:val="top"/>
                </w:tcPr>
                <w:p>
                  <w:hyperlink w:history="true" r:id="R3eb9c06592784f28">
                    <w:r>
                      <w:rPr>
                        <w:rStyle w:val="Hyperlink"/>
                      </w:rPr>
                      <w:t xml:space="preserve">Service provider organisation—full-time equivalent staff (paid), total 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those staff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139058f511b8404e">
                    <w:r>
                      <w:rPr>
                        <w:rStyle w:val="Hyperlink"/>
                        <w:b/>
                      </w:rPr>
                      <w:t xml:space="preserve">Mental illness prevention</w:t>
                    </w:r>
                  </w:hyperlink>
                  <w:r>
                    <w:t xml:space="preserve"> services.</w:t>
                  </w:r>
                </w:p>
                <w:p>
                  <w:r>
                    <w:t xml:space="preserve">FTE should be apportioned to the relevant funding stream.</w:t>
                  </w:r>
                </w:p>
                <w:p>
                  <w:r>
                    <w:rPr>
                      <w:i/>
                    </w:rPr>
                    <w:t xml:space="preserve">Exclusions:</w:t>
                  </w:r>
                </w:p>
                <w:p>
                  <w:pPr>
                    <w:pStyle w:val="ListParagraph"/>
                    <w:numPr>
                      <w:ilvl w:val="0"/>
                      <w:numId w:val="2"/>
                    </w:numPr>
                  </w:pPr>
                  <w:r>
                    <w:t xml:space="preserve">Staff employed in roles only administratively and managerially related to the delivery of client services (reported in </w:t>
                  </w:r>
                  <w:hyperlink w:history="true" r:id="Rab8e155cb4ca4f7a">
                    <w:r>
                      <w:rPr>
                        <w:rStyle w:val="Hyperlink"/>
                      </w:rPr>
                      <w:t xml:space="preserve">Full-time equivalent paid overhead staff (average)</w:t>
                    </w:r>
                  </w:hyperlink>
                  <w:r>
                    <w:t xml:space="preserve">).</w:t>
                  </w:r>
                </w:p>
                <w:p>
                  <w:pPr>
                    <w:pStyle w:val="ListParagraph"/>
                    <w:numPr>
                      <w:ilvl w:val="0"/>
                      <w:numId w:val="2"/>
                    </w:numPr>
                  </w:pPr>
                  <w:hyperlink w:tooltip="A person who willingly gives unpaid help in the form of time, service or skills through an organisation or group." w:history="true" r:id="Rc8c387d5e71d48eb">
                    <w:r>
                      <w:rPr>
                        <w:rStyle w:val="Hyperlink"/>
                        <w:b/>
                      </w:rPr>
                      <w:t xml:space="preserve">Volunteers</w:t>
                    </w:r>
                  </w:hyperlink>
                  <w:r>
                    <w:t xml:space="preserve">/unpaid staff (reported in </w:t>
                  </w:r>
                  <w:hyperlink w:history="true" r:id="R5297d8f9dc32463c">
                    <w:r>
                      <w:rPr>
                        <w:rStyle w:val="Hyperlink"/>
                      </w:rPr>
                      <w:t xml:space="preserve">Hours worked—volunteer/unpaid staff</w:t>
                    </w:r>
                  </w:hyperlink>
                  <w:r>
                    <w:t xml:space="preserve">).</w:t>
                  </w:r>
                </w:p>
                <w:p>
                  <w:r>
                    <w:rPr>
                      <w:i/>
                    </w:rPr>
                    <w:t xml:space="preserve">Inclusions:</w:t>
                  </w:r>
                </w:p>
                <w:p>
                  <w:pPr>
                    <w:pStyle w:val="ListParagraph"/>
                    <w:numPr>
                      <w:ilvl w:val="0"/>
                      <w:numId w:val="3"/>
                    </w:numPr>
                  </w:pPr>
                  <w:hyperlink w:tooltip="A person who is employed (or engaged via contract), either part-time or full-time, on the basis of their lived experience, to provide support to people experiencing a similar situation." w:history="true" r:id="R415edc3c449c4975">
                    <w:r>
                      <w:rPr>
                        <w:rStyle w:val="Hyperlink"/>
                        <w:b/>
                      </w:rPr>
                      <w:t xml:space="preserve">Peer workers</w:t>
                    </w:r>
                  </w:hyperlink>
                  <w:r>
                    <w:t xml:space="preserve"> (also reported in </w:t>
                  </w:r>
                  <w:hyperlink w:history="true" r:id="R49a3f4dbf61042e5">
                    <w:r>
                      <w:rPr>
                        <w:rStyle w:val="Hyperlink"/>
                      </w:rPr>
                      <w:t xml:space="preserve">Full-time equivalent paid peer workers (average)</w:t>
                    </w:r>
                  </w:hyperlink>
                  <w:r>
                    <w:t xml:space="preserv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6</w:t>
                  </w:r>
                </w:p>
              </w:tc>
              <w:tc>
                <w:tcPr>
                  <w:tcBorders>
                    <w:top w:val="none" w:color="000000" w:sz="0"/>
                    <w:left w:val="none" w:color="000000" w:sz="0"/>
                    <w:bottom w:val="none" w:color="000000" w:sz="0"/>
                    <w:right w:val="none" w:color="000000" w:sz="0"/>
                  </w:tcBorders>
                  <w:tcMar/>
                  <w:vAlign w:val="top"/>
                </w:tcPr>
                <w:p>
                  <w:hyperlink w:history="true" r:id="R9e8f558c1f234ef6">
                    <w:r>
                      <w:rPr>
                        <w:rStyle w:val="Hyperlink"/>
                      </w:rPr>
                      <w:t xml:space="preserve">Service provider organisation—hours worked by volunteer/unpaid staff, total N[NNNNNN]</w:t>
                    </w:r>
                  </w:hyperlink>
                </w:p>
                <w:p>
                  <w:r>
                    <w:rPr>
                      <w:b/>
                      <w:i/>
                      <w:color w:val="333333"/>
                    </w:rPr>
                    <w:t xml:space="preserve">DSS specific information:</w:t>
                  </w:r>
                </w:p>
                <w:p>
                  <w:r>
                    <w:t xml:space="preserve">The intention of this data element is to separately identify those staff employed in unpaid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15d4dcc7d99f4f82">
                    <w:r>
                      <w:rPr>
                        <w:rStyle w:val="Hyperlink"/>
                        <w:b/>
                      </w:rPr>
                      <w:t xml:space="preserve">Mental illness prevention</w:t>
                    </w:r>
                  </w:hyperlink>
                  <w:r>
                    <w:t xml:space="preserve"> services.</w:t>
                  </w:r>
                </w:p>
                <w:p>
                  <w:r>
                    <w:t xml:space="preserve">Hours worked during the reporting period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7</w:t>
                  </w:r>
                </w:p>
              </w:tc>
              <w:tc>
                <w:tcPr>
                  <w:tcBorders>
                    <w:top w:val="none" w:color="000000" w:sz="0"/>
                    <w:left w:val="none" w:color="000000" w:sz="0"/>
                    <w:bottom w:val="none" w:color="000000" w:sz="0"/>
                    <w:right w:val="none" w:color="000000" w:sz="0"/>
                  </w:tcBorders>
                  <w:tcMar/>
                  <w:vAlign w:val="top"/>
                </w:tcPr>
                <w:p>
                  <w:hyperlink w:history="true" r:id="R74790128bff8430d">
                    <w:r>
                      <w:rPr>
                        <w:rStyle w:val="Hyperlink"/>
                      </w:rPr>
                      <w:t xml:space="preserve">Service provider organisation—full-time equivalent staff paid peer workers, average NNNN.NN</w:t>
                    </w:r>
                  </w:hyperlink>
                </w:p>
                <w:p>
                  <w:r>
                    <w:rPr>
                      <w:b/>
                      <w:i/>
                      <w:color w:val="333333"/>
                    </w:rPr>
                    <w:t xml:space="preserve">DSS specific information:</w:t>
                  </w:r>
                </w:p>
                <w:p>
                  <w:r>
                    <w:t xml:space="preserve">This data element should be calculated on an annual basis.</w:t>
                  </w:r>
                </w:p>
                <w:p>
                  <w:r>
                    <w:t xml:space="preserve">The intention of this data element is to separately identify peer workers employed in roles related directly to the delivery of </w:t>
                  </w:r>
                  <w:hyperlink w:tooltip="Mental illness prevention includes services that work to prevent the onset of mental disorders, in order to reduce the incidence and prevalence of mental illness in the community. Mental illness prevention activities are directed at reducing known risk..." w:history="true" r:id="Rd2fdd4a855124b37">
                    <w:r>
                      <w:rPr>
                        <w:rStyle w:val="Hyperlink"/>
                        <w:b/>
                      </w:rPr>
                      <w:t xml:space="preserve">Mental illness prevention</w:t>
                    </w:r>
                  </w:hyperlink>
                  <w:r>
                    <w:t xml:space="preserve"> services.</w:t>
                  </w:r>
                </w:p>
                <w:p>
                  <w:r>
                    <w:t xml:space="preserve">FTE should be apportioned to the relevant funding stream.</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1</w:t>
                  </w:r>
                </w:p>
              </w:tc>
            </w:tr>
            <w:tr>
              <w:trPr/>
              <w:tc>
                <w:tcPr>
                  <w:tcBorders>
                    <w:top w:val="none" w:color="000000" w:sz="0"/>
                    <w:left w:val="none" w:color="000000" w:sz="0"/>
                    <w:bottom w:val="none" w:color="000000" w:sz="0"/>
                    <w:right w:val="none" w:color="000000" w:sz="0"/>
                  </w:tcBorders>
                  <w:tcMar>
                    <w:right w:w="29" w:type="dxa"/>
                  </w:tcMar>
                  <w:vAlign w:val="top"/>
                </w:tcPr>
                <w:p>
                  <w:pPr>
                    <w:keepNext/>
                    <w:jc w:val="center"/>
                  </w:pPr>
                  <w:r>
                    <w:t xml:space="preserve">8</w:t>
                  </w:r>
                </w:p>
              </w:tc>
              <w:tc>
                <w:tcPr>
                  <w:tcBorders>
                    <w:top w:val="none" w:color="000000" w:sz="0"/>
                    <w:left w:val="none" w:color="000000" w:sz="0"/>
                    <w:bottom w:val="none" w:color="000000" w:sz="0"/>
                    <w:right w:val="none" w:color="000000" w:sz="0"/>
                  </w:tcBorders>
                  <w:tcMar/>
                  <w:vAlign w:val="top"/>
                </w:tcPr>
                <w:p>
                  <w:hyperlink w:history="true" r:id="Rf7b20c004f194e87">
                    <w:r>
                      <w:rPr>
                        <w:rStyle w:val="Hyperlink"/>
                      </w:rPr>
                      <w:t xml:space="preserve">Address—statistical area, level 2 (SA2) code (ASGS 2016) N(9)</w:t>
                    </w:r>
                  </w:hyperlink>
                </w:p>
                <w:p>
                  <w:r>
                    <w:rPr>
                      <w:b/>
                      <w:i/>
                      <w:color w:val="333333"/>
                    </w:rPr>
                    <w:t xml:space="preserve">DSS specific information:</w:t>
                  </w:r>
                </w:p>
                <w:p>
                  <w:r>
                    <w:t xml:space="preserve">Multiple SA2 codes are available to enable the recording of more than one geographical site of operation of the mental health service type.</w:t>
                  </w:r>
                </w:p>
              </w:tc>
              <w:tc>
                <w:tcPr>
                  <w:tcBorders>
                    <w:top w:val="none" w:color="000000" w:sz="0"/>
                    <w:left w:val="none" w:color="000000" w:sz="0"/>
                    <w:bottom w:val="none" w:color="000000" w:sz="0"/>
                    <w:right w:val="none" w:color="000000" w:sz="0"/>
                  </w:tcBorders>
                  <w:vAlign w:val="top"/>
                </w:tcPr>
                <w:p>
                  <w:r>
                    <w:t xml:space="preserve">Mandatory</w:t>
                  </w:r>
                </w:p>
              </w:tc>
              <w:tc>
                <w:tcPr>
                  <w:tcBorders>
                    <w:top w:val="none" w:color="000000" w:sz="0"/>
                    <w:left w:val="none" w:color="000000" w:sz="0"/>
                    <w:bottom w:val="none" w:color="000000" w:sz="0"/>
                    <w:right w:val="none" w:color="000000" w:sz="0"/>
                  </w:tcBorders>
                  <w:vAlign w:val="top"/>
                </w:tcPr>
                <w:p>
                  <w:r>
                    <w:t xml:space="preserve">50</w:t>
                  </w:r>
                </w:p>
              </w:tc>
            </w:tr>
          </w:tbl>
          <w:p/>
        </w:tc>
      </w:tr>
    </w:tbl>
    <w:p>
      <w:r>
        <w:br/>
      </w:r>
    </w:p>
    <w:sectPr>
      <w:footerReference xmlns:r="http://schemas.openxmlformats.org/officeDocument/2006/relationships" w:type="default" r:id="R68f8d6fbaf6a493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494850</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52c4e072c304e89"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68f8d6fbaf6a4933" /><Relationship Type="http://schemas.openxmlformats.org/officeDocument/2006/relationships/header" Target="/word/header1.xml" Id="R96556414b57a46d9" /><Relationship Type="http://schemas.openxmlformats.org/officeDocument/2006/relationships/settings" Target="/word/settings.xml" Id="R43171a89a5be4d29" /><Relationship Type="http://schemas.openxmlformats.org/officeDocument/2006/relationships/styles" Target="/word/styles.xml" Id="R9f7ca4506d7c4088" /><Relationship Type="http://schemas.openxmlformats.org/officeDocument/2006/relationships/hyperlink" Target="https://meteor.aihw.gov.au/RegistrationAuthority/12" TargetMode="External" Id="Rd29a10d2fec84528" /><Relationship Type="http://schemas.openxmlformats.org/officeDocument/2006/relationships/hyperlink" Target="https://meteor.aihw.gov.au/content/495000" TargetMode="External" Id="R0ef52b23b8c64e42" /><Relationship Type="http://schemas.openxmlformats.org/officeDocument/2006/relationships/hyperlink" Target="https://meteor.aihw.gov.au/content/494729" TargetMode="External" Id="R326eceac34ca4644" /><Relationship Type="http://schemas.openxmlformats.org/officeDocument/2006/relationships/hyperlink" Target="https://meteor.aihw.gov.au/RegistrationAuthority/12" TargetMode="External" Id="R8dbcec15d967430c" /><Relationship Type="http://schemas.openxmlformats.org/officeDocument/2006/relationships/hyperlink" Target="https://meteor.aihw.gov.au/content/495000" TargetMode="External" Id="R8fac8e8fbc8a4974" /><Relationship Type="http://schemas.openxmlformats.org/officeDocument/2006/relationships/hyperlink" Target="https://meteor.aihw.gov.au/content/479124" TargetMode="External" Id="Reb4a9a0798544743" /><Relationship Type="http://schemas.openxmlformats.org/officeDocument/2006/relationships/hyperlink" Target="https://meteor.aihw.gov.au/content/429148" TargetMode="External" Id="R734eaa77fe844d81" /><Relationship Type="http://schemas.openxmlformats.org/officeDocument/2006/relationships/hyperlink" Target="https://meteor.aihw.gov.au/content/496474" TargetMode="External" Id="R36a085fb3b004de6" /><Relationship Type="http://schemas.openxmlformats.org/officeDocument/2006/relationships/hyperlink" Target="https://meteor.aihw.gov.au/content/480798" TargetMode="External" Id="Rb1801b237724464c" /><Relationship Type="http://schemas.openxmlformats.org/officeDocument/2006/relationships/hyperlink" Target="https://meteor.aihw.gov.au/content/270213" TargetMode="External" Id="R3eb9c06592784f28" /><Relationship Type="http://schemas.openxmlformats.org/officeDocument/2006/relationships/hyperlink" Target="https://meteor.aihw.gov.au/content/495000" TargetMode="External" Id="R139058f511b8404e" /><Relationship Type="http://schemas.openxmlformats.org/officeDocument/2006/relationships/numbering" Target="/word/numbering.xml" Id="Rf55e9bfeef564d78" /><Relationship Type="http://schemas.openxmlformats.org/officeDocument/2006/relationships/hyperlink" Target="https://meteor.aihw.gov.au/content/480975" TargetMode="External" Id="Rab8e155cb4ca4f7a" /><Relationship Type="http://schemas.openxmlformats.org/officeDocument/2006/relationships/hyperlink" Target="https://meteor.aihw.gov.au/content/327272" TargetMode="External" Id="Rc8c387d5e71d48eb" /><Relationship Type="http://schemas.openxmlformats.org/officeDocument/2006/relationships/hyperlink" Target="https://meteor.aihw.gov.au/content/481296" TargetMode="External" Id="R5297d8f9dc32463c" /><Relationship Type="http://schemas.openxmlformats.org/officeDocument/2006/relationships/hyperlink" Target="https://meteor.aihw.gov.au/content/481073" TargetMode="External" Id="R415edc3c449c4975" /><Relationship Type="http://schemas.openxmlformats.org/officeDocument/2006/relationships/hyperlink" Target="https://meteor.aihw.gov.au/content/481002" TargetMode="External" Id="R49a3f4dbf61042e5" /><Relationship Type="http://schemas.openxmlformats.org/officeDocument/2006/relationships/hyperlink" Target="https://meteor.aihw.gov.au/content/481296" TargetMode="External" Id="R9e8f558c1f234ef6" /><Relationship Type="http://schemas.openxmlformats.org/officeDocument/2006/relationships/hyperlink" Target="https://meteor.aihw.gov.au/content/495000" TargetMode="External" Id="R15d4dcc7d99f4f82" /><Relationship Type="http://schemas.openxmlformats.org/officeDocument/2006/relationships/hyperlink" Target="https://meteor.aihw.gov.au/content/481002" TargetMode="External" Id="R74790128bff8430d" /><Relationship Type="http://schemas.openxmlformats.org/officeDocument/2006/relationships/hyperlink" Target="https://meteor.aihw.gov.au/content/495000" TargetMode="External" Id="Rd2fdd4a855124b37" /><Relationship Type="http://schemas.openxmlformats.org/officeDocument/2006/relationships/hyperlink" Target="https://meteor.aihw.gov.au/content/659774" TargetMode="External" Id="Rf7b20c004f194e87" /></Relationships>
</file>

<file path=word/_rels/header1.xml.rels>&#65279;<?xml version="1.0" encoding="utf-8"?><Relationships xmlns="http://schemas.openxmlformats.org/package/2006/relationships"><Relationship Type="http://schemas.openxmlformats.org/officeDocument/2006/relationships/image" Target="/media/image.png" Id="R352c4e072c304e89" /></Relationships>
</file>