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7154493bb74f61" /></Relationships>
</file>

<file path=word/document.xml><?xml version="1.0" encoding="utf-8"?>
<w:document xmlns:r="http://schemas.openxmlformats.org/officeDocument/2006/relationships" xmlns:w="http://schemas.openxmlformats.org/wordprocessingml/2006/main">
  <w:body>
    <w:p>
      <w:pPr>
        <w:pStyle w:val="Title"/>
      </w:pPr>
      <w:r>
        <w:t>Referral—referral source,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source,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source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REF_SOURCE_CODE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af6a71e6784d6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person to a health care provider or other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c8580e54344b73">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4d705166694dcc">
              <w:r>
                <w:rPr>
                  <w:rStyle w:val="Hyperlink"/>
                </w:rPr>
                <w:t xml:space="preserve">Referral source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AHP</w:t>
            </w:r>
          </w:p>
        </w:tc>
        <w:tc>
          <w:tcPr>
            <w:tcBorders>
              <w:top w:val="none" w:color="000000" w:sz="0"/>
              <w:left w:val="none" w:color="000000" w:sz="0"/>
              <w:bottom w:val="none" w:color="000000" w:sz="0"/>
              <w:right w:val="none" w:color="000000" w:sz="0"/>
            </w:tcBorders>
            <w:vAlign w:val="top"/>
          </w:tcPr>
          <w:p>
            <w:r>
              <w:t xml:space="preserve">Allied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ANI</w:t>
            </w:r>
          </w:p>
        </w:tc>
        <w:tc>
          <w:tcPr>
            <w:tcBorders>
              <w:top w:val="none" w:color="000000" w:sz="0"/>
              <w:left w:val="none" w:color="000000" w:sz="0"/>
              <w:bottom w:val="none" w:color="000000" w:sz="0"/>
              <w:right w:val="none" w:color="000000" w:sz="0"/>
            </w:tcBorders>
            <w:vAlign w:val="top"/>
          </w:tcPr>
          <w:p>
            <w:r>
              <w:t xml:space="preserve">Another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CLN</w:t>
            </w:r>
          </w:p>
        </w:tc>
        <w:tc>
          <w:tcPr>
            <w:tcBorders>
              <w:top w:val="none" w:color="000000" w:sz="0"/>
              <w:left w:val="none" w:color="000000" w:sz="0"/>
              <w:bottom w:val="none" w:color="000000" w:sz="0"/>
              <w:right w:val="none" w:color="000000" w:sz="0"/>
            </w:tcBorders>
            <w:vAlign w:val="top"/>
          </w:tcPr>
          <w:p>
            <w:r>
              <w:t xml:space="preserve">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Same consultant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EMD</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FAF</w:t>
            </w:r>
          </w:p>
        </w:tc>
        <w:tc>
          <w:tcPr>
            <w:tcBorders>
              <w:top w:val="none" w:color="000000" w:sz="0"/>
              <w:left w:val="none" w:color="000000" w:sz="0"/>
              <w:bottom w:val="none" w:color="000000" w:sz="0"/>
              <w:right w:val="none" w:color="000000" w:sz="0"/>
            </w:tcBorders>
            <w:vAlign w:val="top"/>
          </w:tcPr>
          <w:p>
            <w:r>
              <w:t xml:space="preserve">Family or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GEP</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GOV</w:t>
            </w:r>
          </w:p>
        </w:tc>
        <w:tc>
          <w:tcPr>
            <w:tcBorders>
              <w:top w:val="none" w:color="000000" w:sz="0"/>
              <w:left w:val="none" w:color="000000" w:sz="0"/>
              <w:bottom w:val="none" w:color="000000" w:sz="0"/>
              <w:right w:val="none" w:color="000000" w:sz="0"/>
            </w:tcBorders>
            <w:vAlign w:val="top"/>
          </w:tcPr>
          <w:p>
            <w:r>
              <w:t xml:space="preserve">Government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INW</w:t>
            </w:r>
          </w:p>
        </w:tc>
        <w:tc>
          <w:tcPr>
            <w:tcBorders>
              <w:top w:val="none" w:color="000000" w:sz="0"/>
              <w:left w:val="none" w:color="000000" w:sz="0"/>
              <w:bottom w:val="none" w:color="000000" w:sz="0"/>
              <w:right w:val="none" w:color="000000" w:sz="0"/>
            </w:tcBorders>
            <w:vAlign w:val="top"/>
          </w:tcPr>
          <w:p>
            <w:r>
              <w:t xml:space="preserve">Inpatient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MCE</w:t>
            </w:r>
          </w:p>
        </w:tc>
        <w:tc>
          <w:tcPr>
            <w:tcBorders>
              <w:top w:val="none" w:color="000000" w:sz="0"/>
              <w:left w:val="none" w:color="000000" w:sz="0"/>
              <w:bottom w:val="none" w:color="000000" w:sz="0"/>
              <w:right w:val="none" w:color="000000" w:sz="0"/>
            </w:tcBorders>
            <w:vAlign w:val="top"/>
          </w:tcPr>
          <w:p>
            <w:r>
              <w:t xml:space="preserve">Mental Health Emergency Response Line (MHERL) or Community Emergency Response Team (CERT)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MEP</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MHC</w:t>
            </w:r>
          </w:p>
        </w:tc>
        <w:tc>
          <w:tcPr>
            <w:tcBorders>
              <w:top w:val="none" w:color="000000" w:sz="0"/>
              <w:left w:val="none" w:color="000000" w:sz="0"/>
              <w:bottom w:val="none" w:color="000000" w:sz="0"/>
              <w:right w:val="none" w:color="000000" w:sz="0"/>
            </w:tcBorders>
            <w:vAlign w:val="top"/>
          </w:tcPr>
          <w:p>
            <w:r>
              <w:t xml:space="preserve">Mental Health clinic or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NGO</w:t>
            </w:r>
          </w:p>
        </w:tc>
        <w:tc>
          <w:tcPr>
            <w:tcBorders>
              <w:top w:val="none" w:color="000000" w:sz="0"/>
              <w:left w:val="none" w:color="000000" w:sz="0"/>
              <w:bottom w:val="none" w:color="000000" w:sz="0"/>
              <w:right w:val="none" w:color="000000" w:sz="0"/>
            </w:tcBorders>
            <w:vAlign w:val="top"/>
          </w:tcPr>
          <w:p>
            <w:r>
              <w:t xml:space="preserve">Non-Government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NPR</w:t>
            </w:r>
          </w:p>
        </w:tc>
        <w:tc>
          <w:tcPr>
            <w:tcBorders>
              <w:top w:val="none" w:color="000000" w:sz="0"/>
              <w:left w:val="none" w:color="000000" w:sz="0"/>
              <w:bottom w:val="none" w:color="000000" w:sz="0"/>
              <w:right w:val="none" w:color="000000" w:sz="0"/>
            </w:tcBorders>
            <w:vAlign w:val="top"/>
          </w:tcPr>
          <w:p>
            <w:r>
              <w:t xml:space="preserve">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OMH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OPH</w:t>
            </w:r>
          </w:p>
        </w:tc>
        <w:tc>
          <w:tcPr>
            <w:tcBorders>
              <w:top w:val="none" w:color="000000" w:sz="0"/>
              <w:left w:val="none" w:color="000000" w:sz="0"/>
              <w:bottom w:val="none" w:color="000000" w:sz="0"/>
              <w:right w:val="none" w:color="000000" w:sz="0"/>
            </w:tcBorders>
            <w:vAlign w:val="top"/>
          </w:tcPr>
          <w:p>
            <w:r>
              <w:t xml:space="preserve">Outpatient Department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OPR</w:t>
            </w:r>
          </w:p>
        </w:tc>
        <w:tc>
          <w:tcPr>
            <w:tcBorders>
              <w:top w:val="none" w:color="000000" w:sz="0"/>
              <w:left w:val="none" w:color="000000" w:sz="0"/>
              <w:bottom w:val="none" w:color="000000" w:sz="0"/>
              <w:right w:val="none" w:color="000000" w:sz="0"/>
            </w:tcBorders>
            <w:vAlign w:val="top"/>
          </w:tcPr>
          <w:p>
            <w:r>
              <w:t xml:space="preserve">Other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OTS</w:t>
            </w:r>
          </w:p>
        </w:tc>
        <w:tc>
          <w:tcPr>
            <w:tcBorders>
              <w:top w:val="none" w:color="000000" w:sz="0"/>
              <w:left w:val="none" w:color="000000" w:sz="0"/>
              <w:bottom w:val="none" w:color="000000" w:sz="0"/>
              <w:right w:val="none" w:color="000000" w:sz="0"/>
            </w:tcBorders>
            <w:vAlign w:val="top"/>
          </w:tcPr>
          <w:p>
            <w:r>
              <w:t xml:space="preserve">Other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POL</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Private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SLF</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SPR</w:t>
            </w:r>
          </w:p>
        </w:tc>
        <w:tc>
          <w:tcPr>
            <w:tcBorders>
              <w:top w:val="none" w:color="000000" w:sz="0"/>
              <w:left w:val="none" w:color="000000" w:sz="0"/>
              <w:bottom w:val="none" w:color="000000" w:sz="0"/>
              <w:right w:val="none" w:color="000000" w:sz="0"/>
            </w:tcBorders>
            <w:vAlign w:val="top"/>
          </w:tcPr>
          <w:p>
            <w:r>
              <w:t xml:space="preserve">Specialist 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using the data element:</w:t>
            </w:r>
          </w:p>
          <w:p>
            <w:hyperlink w:history="true" r:id="R621110b167a74756">
              <w:r>
                <w:rPr>
                  <w:rStyle w:val="Hyperlink"/>
                </w:rPr>
                <w:t xml:space="preserve">Non-admitted patient service request—service request source, code N.N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tbl>
            <w:tblPr>
              <w:tblStyle w:val="TableGrid"/>
              <w:tblW w:w="5000" w:type="pct"/>
              <w:tblLayout w:type="autofit"/>
            </w:tblPr>
            <w:tblGrid>
              <w:gridCol/>
              <w:gridCol/>
            </w:tblGrid>
            <w:tr>
              <w:trPr/>
              <w:tc>
                <w:tcPr>
                  <w:tcW w:w="3700" w:type="pct"/>
                  <w:vAlign w:val="top"/>
                </w:tcPr>
                <w:p>
                  <w:pPr/>
                  <w:r>
                    <w:rPr>
                      <w:rStyle w:val="row-content-rich-text"/>
                    </w:rPr>
                    <w:t xml:space="preserve"> </w:t>
                  </w:r>
                  <w:r>
                    <w:rPr>
                      <w:rStyle w:val="row-content-rich-text"/>
                      <w:b/>
                    </w:rPr>
                    <w:t xml:space="preserve">Local codes (NAPAAWL codes)</w:t>
                  </w:r>
                </w:p>
              </w:tc>
              <w:tc>
                <w:tcPr>
                  <w:tcW w:w="1250" w:type="pct"/>
                  <w:vAlign w:val="top"/>
                </w:tcPr>
                <w:p>
                  <w:r>
                    <w:rPr>
                      <w:b/>
                    </w:rPr>
                    <w:t xml:space="preserve">National codes</w:t>
                  </w:r>
                </w:p>
              </w:tc>
            </w:tr>
            <w:tr>
              <w:trPr/>
              <w:tc>
                <w:tcPr>
                  <w:tcW w:w="3700" w:type="pct"/>
                  <w:vAlign w:val="top"/>
                </w:tcPr>
                <w:p>
                  <w:r>
                    <w:t xml:space="preserve">OPH Outpatient Department this hospital</w:t>
                  </w:r>
                </w:p>
                <w:p>
                  <w:r>
                    <w:t xml:space="preserve">CON Same consultant</w:t>
                  </w:r>
                </w:p>
              </w:tc>
              <w:tc>
                <w:tcPr>
                  <w:tcW w:w="1250" w:type="pct"/>
                  <w:vAlign w:val="top"/>
                </w:tcPr>
                <w:p>
                  <w:r>
                    <w:t xml:space="preserve">1.1 Other outpatient clinic (this hospital)</w:t>
                  </w:r>
                </w:p>
              </w:tc>
            </w:tr>
            <w:tr>
              <w:trPr/>
              <w:tc>
                <w:tcPr>
                  <w:tcW w:w="3700" w:type="pct"/>
                  <w:vAlign w:val="top"/>
                </w:tcPr>
                <w:p>
                  <w:r>
                    <w:t xml:space="preserve">EMD Emergency Department</w:t>
                  </w:r>
                </w:p>
              </w:tc>
              <w:tc>
                <w:tcPr>
                  <w:tcW w:w="1250" w:type="pct"/>
                  <w:vAlign w:val="top"/>
                </w:tcPr>
                <w:p>
                  <w:r>
                    <w:t xml:space="preserve">1.2 Emergency Department (this hospital)</w:t>
                  </w:r>
                </w:p>
              </w:tc>
            </w:tr>
            <w:tr>
              <w:trPr/>
              <w:tc>
                <w:tcPr>
                  <w:tcW w:w="3700" w:type="pct"/>
                  <w:vAlign w:val="top"/>
                </w:tcPr>
                <w:p>
                  <w:r>
                    <w:t xml:space="preserve">INW Inpatient ward</w:t>
                  </w:r>
                </w:p>
              </w:tc>
              <w:tc>
                <w:tcPr>
                  <w:tcW w:w="1250" w:type="pct"/>
                  <w:vAlign w:val="top"/>
                </w:tcPr>
                <w:p>
                  <w:r>
                    <w:t xml:space="preserve">1.3 Elsewhere in this hospital</w:t>
                  </w:r>
                </w:p>
              </w:tc>
            </w:tr>
            <w:tr>
              <w:trPr/>
              <w:tc>
                <w:tcPr>
                  <w:tcW w:w="3700" w:type="pct"/>
                  <w:vAlign w:val="top"/>
                </w:tcPr>
                <w:p>
                  <w:r>
                    <w:t xml:space="preserve">OTH Other hospital</w:t>
                  </w:r>
                </w:p>
              </w:tc>
              <w:tc>
                <w:tcPr>
                  <w:tcW w:w="1250" w:type="pct"/>
                  <w:vAlign w:val="top"/>
                </w:tcPr>
                <w:p>
                  <w:r>
                    <w:t xml:space="preserve">2.0 Other hospital</w:t>
                  </w:r>
                </w:p>
              </w:tc>
            </w:tr>
            <w:tr>
              <w:trPr/>
              <w:tc>
                <w:tcPr>
                  <w:tcW w:w="3700" w:type="pct"/>
                  <w:vAlign w:val="top"/>
                </w:tcPr>
                <w:p>
                  <w:r>
                    <w:t xml:space="preserve">GEP General Practitioner</w:t>
                  </w:r>
                </w:p>
              </w:tc>
              <w:tc>
                <w:tcPr>
                  <w:tcW w:w="1250" w:type="pct"/>
                  <w:vAlign w:val="top"/>
                </w:tcPr>
                <w:p>
                  <w:r>
                    <w:t xml:space="preserve">3.1 General practice</w:t>
                  </w:r>
                </w:p>
              </w:tc>
            </w:tr>
            <w:tr>
              <w:trPr/>
              <w:tc>
                <w:tcPr>
                  <w:tcW w:w="3700" w:type="pct"/>
                  <w:vAlign w:val="top"/>
                </w:tcPr>
                <w:p>
                  <w:r>
                    <w:t xml:space="preserve">PPS Private psychiatrist</w:t>
                  </w:r>
                </w:p>
                <w:p>
                  <w:r>
                    <w:t xml:space="preserve">SPR Specialist rooms</w:t>
                  </w:r>
                </w:p>
              </w:tc>
              <w:tc>
                <w:tcPr>
                  <w:tcW w:w="1250" w:type="pct"/>
                  <w:vAlign w:val="top"/>
                </w:tcPr>
                <w:p>
                  <w:r>
                    <w:t xml:space="preserve">3.2 Specialist practice</w:t>
                  </w:r>
                </w:p>
              </w:tc>
            </w:tr>
            <w:tr>
              <w:trPr/>
              <w:tc>
                <w:tcPr>
                  <w:tcW w:w="3700" w:type="pct"/>
                  <w:vAlign w:val="top"/>
                </w:tcPr>
                <w:p>
                  <w:r>
                    <w:t xml:space="preserve">AHP Allied health professional</w:t>
                  </w:r>
                </w:p>
                <w:p>
                  <w:r>
                    <w:t xml:space="preserve">ANI Another institution</w:t>
                  </w:r>
                </w:p>
                <w:p>
                  <w:r>
                    <w:t xml:space="preserve">COM Community</w:t>
                  </w:r>
                </w:p>
                <w:p>
                  <w:r>
                    <w:t xml:space="preserve">EDU Education Department</w:t>
                  </w:r>
                </w:p>
                <w:p>
                  <w:r>
                    <w:t xml:space="preserve">FAF Family or friend</w:t>
                  </w:r>
                </w:p>
                <w:p>
                  <w:r>
                    <w:t xml:space="preserve">GOV Government agency</w:t>
                  </w:r>
                </w:p>
                <w:p>
                  <w:r>
                    <w:t xml:space="preserve">MCE Mental Health Emergency Response Line (MHERL) or Community Emergency Response Team (CERT)</w:t>
                  </w:r>
                </w:p>
                <w:p>
                  <w:r>
                    <w:t xml:space="preserve">MHC Mental health clinic or team</w:t>
                  </w:r>
                </w:p>
                <w:p>
                  <w:r>
                    <w:t xml:space="preserve">NGO Non-government organisation</w:t>
                  </w:r>
                </w:p>
                <w:p>
                  <w:r>
                    <w:t xml:space="preserve">OMH Other</w:t>
                  </w:r>
                </w:p>
                <w:p>
                  <w:r>
                    <w:t xml:space="preserve">OPR Other professional</w:t>
                  </w:r>
                </w:p>
                <w:p>
                  <w:r>
                    <w:t xml:space="preserve">POL Police</w:t>
                  </w:r>
                </w:p>
                <w:p>
                  <w:r>
                    <w:t xml:space="preserve">PRI Private referral</w:t>
                  </w:r>
                </w:p>
                <w:p>
                  <w:r>
                    <w:t xml:space="preserve">CLN Clinician</w:t>
                  </w:r>
                </w:p>
                <w:p>
                  <w:r>
                    <w:t xml:space="preserve">MEP Medical Practitioner</w:t>
                  </w:r>
                </w:p>
                <w:p>
                  <w:r>
                    <w:t xml:space="preserve">NUR Nurse</w:t>
                  </w:r>
                </w:p>
                <w:p>
                  <w:r>
                    <w:t xml:space="preserve">NPR Nurse Practitioner</w:t>
                  </w:r>
                </w:p>
                <w:p>
                  <w:r>
                    <w:t xml:space="preserve">OTS Other service</w:t>
                  </w:r>
                </w:p>
              </w:tc>
              <w:tc>
                <w:tcPr>
                  <w:tcW w:w="1250" w:type="pct"/>
                  <w:vAlign w:val="top"/>
                </w:tcPr>
                <w:p>
                  <w:r>
                    <w:t xml:space="preserve">3.3 Other non-hospital</w:t>
                  </w:r>
                </w:p>
              </w:tc>
            </w:tr>
            <w:tr>
              <w:trPr/>
              <w:tc>
                <w:tcPr>
                  <w:tcW w:w="3700" w:type="pct"/>
                  <w:vAlign w:val="top"/>
                </w:tcPr>
                <w:p>
                  <w:r>
                    <w:t xml:space="preserve">SLF Self</w:t>
                  </w:r>
                </w:p>
              </w:tc>
              <w:tc>
                <w:tcPr>
                  <w:tcW w:w="1250" w:type="pct"/>
                  <w:vAlign w:val="top"/>
                </w:tcPr>
                <w:p>
                  <w:r>
                    <w:t xml:space="preserve">4.0 Self</w:t>
                  </w:r>
                </w:p>
              </w:tc>
            </w:tr>
            <w:tr>
              <w:trPr/>
              <w:tc>
                <w:tcPr>
                  <w:tcW w:w="3700" w:type="pct"/>
                  <w:vAlign w:val="top"/>
                </w:tcPr>
                <w:p>
                  <w:r>
                    <w:t xml:space="preserve">UNK Unknown</w:t>
                  </w:r>
                </w:p>
                <w:p>
                  <w:r>
                    <w:t xml:space="preserve">NSP Not specified</w:t>
                  </w:r>
                </w:p>
              </w:tc>
              <w:tc>
                <w:tcPr>
                  <w:tcW w:w="1250" w:type="pct"/>
                  <w:vAlign w:val="top"/>
                </w:tcPr>
                <w:p>
                  <w:r>
                    <w:t xml:space="preserve">99 Unknown</w:t>
                  </w:r>
                </w:p>
              </w:tc>
            </w:tr>
          </w:tbl>
          <w:p>
            <w:r>
              <w:t xml:space="preserve"> </w:t>
            </w:r>
          </w:p>
          <w:p>
            <w:r>
              <w:t xml:space="preserve">The synonymous name REF_SOURCE_CODE is used for local reporting purposes.</w:t>
            </w:r>
          </w:p>
          <w:p>
            <w:r>
              <w:t xml:space="preserve">The nationally reported data element has the synonymous name SERVICE_REQUEST_SOURCE.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3af4550f88450a">
              <w:r>
                <w:rPr>
                  <w:rStyle w:val="Hyperlink"/>
                </w:rPr>
                <w:t xml:space="preserve">Referral—referral source, code AAA</w:t>
              </w:r>
            </w:hyperlink>
          </w:p>
          <w:p>
            <w:pPr>
              <w:spacing w:before="0" w:after="0"/>
            </w:pPr>
            <w:r>
              <w:rPr>
                <w:rStyle w:val="row-content"/>
                <w:color w:val="244061"/>
              </w:rPr>
              <w:t xml:space="preserve">       </w:t>
            </w:r>
            <w:hyperlink w:history="true" r:id="R74f42fa4893d4496">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b7f51d3e14774285">
              <w:r>
                <w:rPr>
                  <w:rStyle w:val="Hyperlink"/>
                </w:rPr>
                <w:t xml:space="preserve">Non-admitted patient service request—service request source, code N.N</w:t>
              </w:r>
            </w:hyperlink>
          </w:p>
          <w:p>
            <w:pPr>
              <w:spacing w:before="0" w:after="0"/>
            </w:pPr>
            <w:r>
              <w:rPr>
                <w:rStyle w:val="row-content"/>
                <w:color w:val="244061"/>
              </w:rPr>
              <w:t xml:space="preserve">       </w:t>
            </w:r>
            <w:hyperlink w:history="true" r:id="Rf306707cdded414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ecb2f51e7984419">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See also </w:t>
            </w:r>
            <w:hyperlink w:history="true" r:id="R3075a3d114744c65">
              <w:r>
                <w:rPr>
                  <w:rStyle w:val="Hyperlink"/>
                </w:rPr>
                <w:t xml:space="preserve">Non-admitted patient service request—service request source, code N.N</w:t>
              </w:r>
            </w:hyperlink>
          </w:p>
          <w:p>
            <w:pPr>
              <w:spacing w:before="0" w:after="0"/>
            </w:pPr>
            <w:r>
              <w:rPr>
                <w:rStyle w:val="row-content"/>
                <w:color w:val="244061"/>
              </w:rPr>
              <w:t xml:space="preserve">       </w:t>
            </w:r>
            <w:hyperlink w:history="true" r:id="R047c7f22339b4838">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3eff14a8544c88">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a7d4cac5e02b4596">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This data item is a mandatory item for national reporting in the:</w:t>
            </w:r>
          </w:p>
          <w:p>
            <w:hyperlink w:history="true" r:id="R65514fd5af304f38">
              <w:r>
                <w:rPr>
                  <w:rStyle w:val="Hyperlink"/>
                </w:rPr>
                <w:t xml:space="preserve">Non-admitted patient DSS 2013-14</w:t>
              </w:r>
            </w:hyperlink>
          </w:p>
          <w:p>
            <w:hyperlink w:history="true" r:id="R5b931a7febc7410f">
              <w:r>
                <w:rPr>
                  <w:rStyle w:val="Hyperlink"/>
                </w:rPr>
                <w:t xml:space="preserve">Activity based funding: Non-admitted patient care DSS 2013-2014</w:t>
              </w:r>
            </w:hyperlink>
          </w:p>
          <w:p>
            <w:r>
              <w:rPr>
                <w:rStyle w:val="row-content"/>
              </w:rPr>
              <w:t xml:space="preserve"> </w:t>
            </w:r>
          </w:p>
          <w:p>
            <w:r>
              <w:rPr>
                <w:rStyle w:val="row-content"/>
              </w:rPr>
              <w:t xml:space="preserve">It is reported nationally using the data element:</w:t>
            </w:r>
          </w:p>
          <w:p>
            <w:hyperlink w:history="true" r:id="R5aecc301f7f94c0b">
              <w:r>
                <w:rPr>
                  <w:rStyle w:val="Hyperlink"/>
                </w:rPr>
                <w:t xml:space="preserve">Non-admitted patient service request-service request source, code N.N</w:t>
              </w:r>
            </w:hyperlink>
          </w:p>
          <w:p>
            <w:r>
              <w:br/>
            </w:r>
            <w:r>
              <w:br/>
            </w:r>
            <w:hyperlink w:history="true" r:id="Rbd95a59330204454">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24d71d4c829e436e">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This data item is a mandatory item for reporting in the:</w:t>
            </w:r>
          </w:p>
          <w:p>
            <w:hyperlink w:history="true" r:id="R25fde91521554e71">
              <w:r>
                <w:rPr>
                  <w:rStyle w:val="Hyperlink"/>
                </w:rPr>
                <w:t xml:space="preserve">Non-admitted patient DSS 2014-15</w:t>
              </w:r>
            </w:hyperlink>
          </w:p>
          <w:p>
            <w:r>
              <w:rPr>
                <w:rStyle w:val="row-content"/>
              </w:rPr>
              <w:t xml:space="preserve"> </w:t>
            </w:r>
          </w:p>
          <w:p>
            <w:r>
              <w:rPr>
                <w:rStyle w:val="row-content"/>
              </w:rPr>
              <w:t xml:space="preserve">It is reported nationally using the data element:</w:t>
            </w:r>
          </w:p>
          <w:p>
            <w:hyperlink w:history="true" r:id="R5e3a36339e4d4a91">
              <w:r>
                <w:rPr>
                  <w:rStyle w:val="Hyperlink"/>
                </w:rPr>
                <w:t xml:space="preserve">Non-admitted patient service request-service request source, code N.N</w:t>
              </w:r>
            </w:hyperlink>
          </w:p>
          <w:p>
            <w:r>
              <w:br/>
            </w:r>
            <w:r>
              <w:br/>
            </w:r>
          </w:p>
        </w:tc>
      </w:tr>
    </w:tbl>
    <w:p/>
    <w:tbl>
      <w:tblPr>
        <w:tblStyle w:val="TableGrid"/>
        <w:tblW w:w="0" w:type="auto"/>
      </w:tblPr>
    </w:tbl>
    <w:p>
      <w:r>
        <w:br/>
      </w:r>
    </w:p>
    <w:sectPr>
      <w:footerReference xmlns:r="http://schemas.openxmlformats.org/officeDocument/2006/relationships" w:type="default" r:id="Rd88ba44aa89f46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491450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505dab90694f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8ba44aa89f4681" /><Relationship Type="http://schemas.openxmlformats.org/officeDocument/2006/relationships/header" Target="/word/header1.xml" Id="R84e53d62786e4123" /><Relationship Type="http://schemas.openxmlformats.org/officeDocument/2006/relationships/settings" Target="/word/settings.xml" Id="Reae5a3df1e5e422c" /><Relationship Type="http://schemas.openxmlformats.org/officeDocument/2006/relationships/styles" Target="/word/styles.xml" Id="R7168f06967e64f90" /><Relationship Type="http://schemas.openxmlformats.org/officeDocument/2006/relationships/hyperlink" Target="https://meteor.aihw.gov.au/RegistrationAuthority/2" TargetMode="External" Id="R50af6a71e6784d63" /><Relationship Type="http://schemas.openxmlformats.org/officeDocument/2006/relationships/hyperlink" Target="https://meteor.aihw.gov.au/content/297450" TargetMode="External" Id="R83c8580e54344b73" /><Relationship Type="http://schemas.openxmlformats.org/officeDocument/2006/relationships/hyperlink" Target="https://meteor.aihw.gov.au/content/491448" TargetMode="External" Id="R0a4d705166694dcc" /><Relationship Type="http://schemas.openxmlformats.org/officeDocument/2006/relationships/hyperlink" Target="https://meteor.aihw.gov.au/content/400747" TargetMode="External" Id="R621110b167a74756" /><Relationship Type="http://schemas.openxmlformats.org/officeDocument/2006/relationships/hyperlink" Target="https://meteor.aihw.gov.au/content/643288" TargetMode="External" Id="R493af4550f88450a" /><Relationship Type="http://schemas.openxmlformats.org/officeDocument/2006/relationships/hyperlink" Target="https://meteor.aihw.gov.au/RegistrationAuthority/2" TargetMode="External" Id="R74f42fa4893d4496" /><Relationship Type="http://schemas.openxmlformats.org/officeDocument/2006/relationships/hyperlink" Target="https://meteor.aihw.gov.au/content/400747" TargetMode="External" Id="Rb7f51d3e14774285" /><Relationship Type="http://schemas.openxmlformats.org/officeDocument/2006/relationships/hyperlink" Target="https://meteor.aihw.gov.au/RegistrationAuthority/12" TargetMode="External" Id="Rf306707cdded4144" /><Relationship Type="http://schemas.openxmlformats.org/officeDocument/2006/relationships/hyperlink" Target="https://meteor.aihw.gov.au/RegistrationAuthority/3" TargetMode="External" Id="R5ecb2f51e7984419" /><Relationship Type="http://schemas.openxmlformats.org/officeDocument/2006/relationships/hyperlink" Target="https://meteor.aihw.gov.au/content/679552" TargetMode="External" Id="R3075a3d114744c65" /><Relationship Type="http://schemas.openxmlformats.org/officeDocument/2006/relationships/hyperlink" Target="https://meteor.aihw.gov.au/RegistrationAuthority/12" TargetMode="External" Id="R047c7f22339b4838" /><Relationship Type="http://schemas.openxmlformats.org/officeDocument/2006/relationships/hyperlink" Target="https://meteor.aihw.gov.au/content/490816" TargetMode="External" Id="Rb03eff14a8544c88" /><Relationship Type="http://schemas.openxmlformats.org/officeDocument/2006/relationships/hyperlink" Target="https://meteor.aihw.gov.au/RegistrationAuthority/2" TargetMode="External" Id="Ra7d4cac5e02b4596" /><Relationship Type="http://schemas.openxmlformats.org/officeDocument/2006/relationships/hyperlink" Target="https://meteor.aihw.gov.au/content/509071" TargetMode="External" Id="R65514fd5af304f38" /><Relationship Type="http://schemas.openxmlformats.org/officeDocument/2006/relationships/hyperlink" Target="https://meteor.aihw.gov.au/content/497531" TargetMode="External" Id="R5b931a7febc7410f" /><Relationship Type="http://schemas.openxmlformats.org/officeDocument/2006/relationships/hyperlink" Target="https://meteor.aihw.gov.au/content/400747" TargetMode="External" Id="R5aecc301f7f94c0b" /><Relationship Type="http://schemas.openxmlformats.org/officeDocument/2006/relationships/hyperlink" Target="https://meteor.aihw.gov.au/content/605977" TargetMode="External" Id="Rbd95a59330204454" /><Relationship Type="http://schemas.openxmlformats.org/officeDocument/2006/relationships/hyperlink" Target="https://meteor.aihw.gov.au/RegistrationAuthority/2" TargetMode="External" Id="R24d71d4c829e436e" /><Relationship Type="http://schemas.openxmlformats.org/officeDocument/2006/relationships/hyperlink" Target="https://meteor.aihw.gov.au/content/548176" TargetMode="External" Id="R25fde91521554e71" /><Relationship Type="http://schemas.openxmlformats.org/officeDocument/2006/relationships/hyperlink" Target="https://meteor.aihw.gov.au/content/400747" TargetMode="External" Id="R5e3a36339e4d4a91" /></Relationships>
</file>

<file path=word/_rels/header1.xml.rels>&#65279;<?xml version="1.0" encoding="utf-8"?><Relationships xmlns="http://schemas.openxmlformats.org/package/2006/relationships"><Relationship Type="http://schemas.openxmlformats.org/officeDocument/2006/relationships/image" Target="/media/image.png" Id="R20505dab90694f8e" /></Relationships>
</file>