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9d030fb9554fbb" /></Relationships>
</file>

<file path=word/document.xml><?xml version="1.0" encoding="utf-8"?>
<w:document xmlns:r="http://schemas.openxmlformats.org/officeDocument/2006/relationships" xmlns:w="http://schemas.openxmlformats.org/wordprocessingml/2006/main">
  <w:body>
    <w:p>
      <w:pPr>
        <w:pStyle w:val="Title"/>
      </w:pPr>
      <w:r>
        <w:t>AIHW Child Protection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Child Protection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national data collection is sourced from state and territory child protection administrative data sets, according to nationally agreed definitions and technical specifications.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by-product. Data are supplied annually from each state and territory according to nationally agreed definitions and technical specifications. The state and territory departments and the Australian Institute of Health and Welfare jointly fund the annual collation, analysis and publication of child protection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2021. Child protection Australia 2019–20. Child welfare series no. 74. Cat. no. CWS 78. Canberra: AIHW. Viewed 24 May 2021, </w:t>
            </w:r>
            <w:hyperlink w:history="true" r:id="Rbc51388142d4462d">
              <w:r>
                <w:rPr>
                  <w:rStyle w:val="Hyperlink"/>
                </w:rPr>
                <w:t xml:space="preserve">https://www.aihw.gov.au/reports/child-protection/child-protection-australia-2019-20/summary</w:t>
              </w:r>
            </w:hyperlink>
            <w:r>
              <w:rPr>
                <w:rStyle w:val="row-content-rich-text"/>
              </w:rPr>
              <w:t xml:space="preserve"> </w:t>
            </w:r>
          </w:p>
        </w:tc>
      </w:tr>
    </w:tbl>
    <w:p>
      <w:r>
        <w:br/>
      </w:r>
    </w:p>
    <w:sectPr>
      <w:footerReference xmlns:r="http://schemas.openxmlformats.org/officeDocument/2006/relationships" w:type="default" r:id="R2a95c7d6b95944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489543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1e61af624349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95c7d6b9594422" /><Relationship Type="http://schemas.openxmlformats.org/officeDocument/2006/relationships/header" Target="/word/header1.xml" Id="R7e7249b39c6a4288" /><Relationship Type="http://schemas.openxmlformats.org/officeDocument/2006/relationships/settings" Target="/word/settings.xml" Id="R4677bcb3953340a8" /><Relationship Type="http://schemas.openxmlformats.org/officeDocument/2006/relationships/styles" Target="/word/styles.xml" Id="R7039e1aacbce4ee5" /><Relationship Type="http://schemas.openxmlformats.org/officeDocument/2006/relationships/hyperlink" Target="https://www.aihw.gov.au/reports/child-protection/child-protection-australia-2019-20/summary" TargetMode="External" Id="Rbc51388142d4462d" /></Relationships>
</file>

<file path=word/_rels/header1.xml.rels>&#65279;<?xml version="1.0" encoding="utf-8"?><Relationships xmlns="http://schemas.openxmlformats.org/package/2006/relationships"><Relationship Type="http://schemas.openxmlformats.org/officeDocument/2006/relationships/image" Target="/media/image.png" Id="Rb81e61af624349cb" /></Relationships>
</file>