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bdbe1fde0a4784" /></Relationships>
</file>

<file path=word/document.xml><?xml version="1.0" encoding="utf-8"?>
<w:document xmlns:r="http://schemas.openxmlformats.org/officeDocument/2006/relationships" xmlns:w="http://schemas.openxmlformats.org/wordprocessingml/2006/main">
  <w:body>
    <w:p>
      <w:pPr>
        <w:pStyle w:val="Title"/>
      </w:pPr>
      <w:r>
        <w:t>Prison dischargee—type of chronic condition diagnosed, during imprisonment, chronic condition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chronic condition diagnosed, during imprisonment, chronic condition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diagnosed chronic condition (during imprisonment)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483945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0cf1d8e990402e">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diagnosed during the most recent imprisonment, from which a prison dischargee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c4f70919b143da">
              <w:r>
                <w:rPr>
                  <w:rStyle w:val="Hyperlink"/>
                </w:rPr>
                <w:t xml:space="preserve">Prison dischargee—type of chronic condition diagnosed during imprisonment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f4cf3bc8644354">
              <w:r>
                <w:rPr>
                  <w:rStyle w:val="Hyperlink"/>
                </w:rPr>
                <w:t xml:space="preserve">Chronic condition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Psychological/mental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Skin condition (excluding cancer and communicable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Alcohol or drug use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Musculoskeletal injury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Musculoskeletal condition (excluding arthritis, injury or 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Cardiovascular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Respiratory condition (excluding asthma 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Communicable disease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Dental issues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Digestive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Asthma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Sensory conditions (including ear and eye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Neurological conditions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Malignancy/cancer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Women's health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Multiple options may be selected.</w:t>
            </w:r>
          </w:p>
          <w:p>
            <w:pPr>
              <w:spacing w:after="160"/>
            </w:pPr>
            <w:r>
              <w:rPr>
                <w:rStyle w:val="row-content-rich-text"/>
              </w:rPr>
              <w:t xml:space="preserve">CODE 1   Diabetes</w:t>
            </w:r>
          </w:p>
          <w:p>
            <w:pPr>
              <w:spacing w:after="160"/>
            </w:pPr>
            <w:r>
              <w:rPr>
                <w:rStyle w:val="row-content-rich-text"/>
              </w:rPr>
              <w:t xml:space="preserve">Diabetes includes Type 1 diabetes, Type 2 diabetes and gestational diabetes.</w:t>
            </w:r>
          </w:p>
          <w:p>
            <w:pPr>
              <w:spacing w:after="160"/>
            </w:pPr>
            <w:r>
              <w:rPr>
                <w:rStyle w:val="row-content-rich-text"/>
              </w:rPr>
              <w:t xml:space="preserve">CODE 2   Psychological/mental health condition</w:t>
            </w:r>
          </w:p>
          <w:p>
            <w:pPr>
              <w:spacing w:after="160"/>
            </w:pPr>
            <w:r>
              <w:rPr>
                <w:rStyle w:val="row-content-rich-text"/>
              </w:rPr>
              <w:t xml:space="preserve">Psychological/mental health condition includes depression, anxiety, psychosis, substance abuse, attention deficit/hyperactivity, adjustment, dissociation, impulse disorder, personality disorder or sleeping disorder, and other issues related to mental health.</w:t>
            </w:r>
          </w:p>
          <w:p>
            <w:pPr>
              <w:spacing w:after="160"/>
            </w:pPr>
            <w:r>
              <w:rPr>
                <w:rStyle w:val="row-content-rich-text"/>
              </w:rPr>
              <w:t xml:space="preserve">CODE 3   Skin condition</w:t>
            </w:r>
          </w:p>
          <w:p>
            <w:pPr>
              <w:spacing w:after="160"/>
            </w:pPr>
            <w:r>
              <w:rPr>
                <w:rStyle w:val="row-content-rich-text"/>
              </w:rPr>
              <w:t xml:space="preserve">Skin condition (excluding cancer or communicable diseases) includes conditions such as burns, scalds, dermatitis, fungal skin diseases, infectious skin disease, pressure sores, psoriasis, rosacea, ulcers and warts.</w:t>
            </w:r>
          </w:p>
          <w:p>
            <w:pPr>
              <w:spacing w:after="160"/>
            </w:pPr>
            <w:r>
              <w:rPr>
                <w:rStyle w:val="row-content-rich-text"/>
              </w:rPr>
              <w:t xml:space="preserve">CODE 4   Alcohol or drug use</w:t>
            </w:r>
          </w:p>
          <w:p>
            <w:pPr>
              <w:spacing w:after="160"/>
            </w:pPr>
            <w:r>
              <w:rPr>
                <w:rStyle w:val="row-content-rich-text"/>
              </w:rPr>
              <w:t xml:space="preserve">Alcohol or drug use includes problems related to the use or misuse of alcohol and other drugs and may include withdrawal, detoxification, smoking cessation, counselling.</w:t>
            </w:r>
          </w:p>
          <w:p>
            <w:pPr>
              <w:spacing w:after="160"/>
            </w:pPr>
            <w:r>
              <w:rPr>
                <w:rStyle w:val="row-content-rich-text"/>
              </w:rPr>
              <w:t xml:space="preserve">CODE 5   Musculoskeletal injury</w:t>
            </w:r>
          </w:p>
          <w:p>
            <w:pPr>
              <w:spacing w:after="160"/>
            </w:pPr>
            <w:r>
              <w:rPr>
                <w:rStyle w:val="row-content-rich-text"/>
              </w:rPr>
              <w:t xml:space="preserve">Musculoskeletal injury refers to recent/short term injuries to a skeletal muscle, tendon, ligament, joint or blood vessel that services skeletal muscles and any related tissues.</w:t>
            </w:r>
          </w:p>
          <w:p>
            <w:pPr>
              <w:spacing w:after="160"/>
            </w:pPr>
            <w:r>
              <w:rPr>
                <w:rStyle w:val="row-content-rich-text"/>
              </w:rPr>
              <w:t xml:space="preserve">CODE 6   Musculoskeletal condition  </w:t>
            </w:r>
          </w:p>
          <w:p>
            <w:pPr>
              <w:spacing w:after="160"/>
            </w:pPr>
            <w:r>
              <w:rPr>
                <w:rStyle w:val="row-content-rich-text"/>
              </w:rPr>
              <w:t xml:space="preserve">Musculoskeletal condition (excluding arthritis, injury or cancer) refers to long term conditions to a skeletal muscle, tendon, ligament, joint or blood vessel that services skeletal muscles and any related tissues; and</w:t>
            </w:r>
          </w:p>
          <w:p>
            <w:pPr>
              <w:spacing w:after="160"/>
            </w:pPr>
            <w:r>
              <w:rPr>
                <w:rStyle w:val="row-content-rich-text"/>
              </w:rPr>
              <w:t xml:space="preserve">o   includes back injuries, back pain, bone disease, bursitis, joint diseases, muscular disease, spinal diseases, tendonitis; but</w:t>
            </w:r>
          </w:p>
          <w:p>
            <w:pPr>
              <w:spacing w:after="160"/>
            </w:pPr>
            <w:r>
              <w:rPr>
                <w:rStyle w:val="row-content-rich-text"/>
              </w:rPr>
              <w:t xml:space="preserve">o   excludes arthritis, injury or cancer.</w:t>
            </w:r>
          </w:p>
          <w:p>
            <w:pPr>
              <w:spacing w:after="160"/>
            </w:pPr>
            <w:r>
              <w:rPr>
                <w:rStyle w:val="row-content-rich-text"/>
              </w:rPr>
              <w:t xml:space="preserve">CODE 7   Cardiovascular disease</w:t>
            </w:r>
          </w:p>
          <w:p>
            <w:pPr>
              <w:spacing w:after="160"/>
            </w:pPr>
            <w:r>
              <w:rPr>
                <w:rStyle w:val="row-content-rich-text"/>
              </w:rPr>
              <w:t xml:space="preserve">Cardiovascular disease includes coronary heart disease, heart failure, rheumatic fever, rhematic heart disease, congenital heart disease, stroke and peripheral vascular disease.</w:t>
            </w:r>
          </w:p>
          <w:p>
            <w:pPr>
              <w:spacing w:after="160"/>
            </w:pPr>
            <w:r>
              <w:rPr>
                <w:rStyle w:val="row-content-rich-text"/>
              </w:rPr>
              <w:t xml:space="preserve">CODE 8   Respiratory condition</w:t>
            </w:r>
          </w:p>
          <w:p>
            <w:pPr>
              <w:spacing w:after="160"/>
            </w:pPr>
            <w:r>
              <w:rPr>
                <w:rStyle w:val="row-content-rich-text"/>
              </w:rPr>
              <w:t xml:space="preserve">Respiratory condition (excluding asthma, cancer or communicable disease) includes any issues with the respiratory system including airways, lungs and the respiratory muscles such as:</w:t>
            </w:r>
          </w:p>
          <w:p>
            <w:pPr>
              <w:spacing w:after="160"/>
            </w:pPr>
            <w:r>
              <w:rPr>
                <w:rStyle w:val="row-content-rich-text"/>
              </w:rPr>
              <w:t xml:space="preserve">o   respiratory diseases such as chronic respiratory disease or lung disease;</w:t>
            </w:r>
          </w:p>
          <w:p>
            <w:pPr>
              <w:spacing w:after="160"/>
            </w:pPr>
            <w:r>
              <w:rPr>
                <w:rStyle w:val="row-content-rich-text"/>
              </w:rPr>
              <w:t xml:space="preserve">o   respiratory tract infections such as bronchitis, diphtheria, influenza (flu), colds, croup, pneumonia, sinusitis, legionnaires' disease, severe acute respiratory syndrome (SARS), tuberculosis and whooping cough.</w:t>
            </w:r>
          </w:p>
          <w:p>
            <w:pPr>
              <w:spacing w:after="160"/>
            </w:pPr>
            <w:r>
              <w:rPr>
                <w:rStyle w:val="row-content-rich-text"/>
              </w:rPr>
              <w:t xml:space="preserve">CODE 9   Communicable disease</w:t>
            </w:r>
          </w:p>
          <w:p>
            <w:pPr>
              <w:spacing w:after="160"/>
            </w:pPr>
            <w:r>
              <w:rPr>
                <w:rStyle w:val="row-content-rich-text"/>
              </w:rPr>
              <w:t xml:space="preserve">Communicable disease includes AIDS and HIV, bacterial infection, hepatitis, malaria, meningitis and meningococcal infections, sexually transmitted infections, viral infections and vaccine preventable diseases such as chickenpox and influenza.</w:t>
            </w:r>
          </w:p>
          <w:p>
            <w:pPr>
              <w:spacing w:after="160"/>
            </w:pPr>
            <w:r>
              <w:rPr>
                <w:rStyle w:val="row-content-rich-text"/>
              </w:rPr>
              <w:t xml:space="preserve">CODE 10   Dental issues</w:t>
            </w:r>
          </w:p>
          <w:p>
            <w:pPr>
              <w:spacing w:after="160"/>
            </w:pPr>
            <w:r>
              <w:rPr>
                <w:rStyle w:val="row-content-rich-text"/>
              </w:rPr>
              <w:t xml:space="preserve">Dental includes problems related to teeth or gums and may be a visit with a dentist or other health professional.</w:t>
            </w:r>
          </w:p>
          <w:p>
            <w:pPr>
              <w:spacing w:after="160"/>
            </w:pPr>
            <w:r>
              <w:rPr>
                <w:rStyle w:val="row-content-rich-text"/>
              </w:rPr>
              <w:t xml:space="preserve">CODE 11   Digestive condition</w:t>
            </w:r>
          </w:p>
          <w:p>
            <w:pPr>
              <w:spacing w:after="160"/>
            </w:pPr>
            <w:r>
              <w:rPr>
                <w:rStyle w:val="row-content-rich-text"/>
              </w:rPr>
              <w:t xml:space="preserve">Digestive condition (excluding cancer) includes abdominal pain, diarrhoea, gallstones, gastroenteritis, hernias, incontinence, indigestion, intestinal diseases, liver disease, malabsorption syndromes, oesophageal disease, pancreatic disease, peptic ulcer. It excludes digestive system cancers such as bowel, liver and stomach cancer.</w:t>
            </w:r>
          </w:p>
          <w:p>
            <w:pPr>
              <w:spacing w:after="160"/>
            </w:pPr>
            <w:r>
              <w:rPr>
                <w:rStyle w:val="row-content-rich-text"/>
              </w:rPr>
              <w:t xml:space="preserve">CODE 12   Asthma</w:t>
            </w:r>
          </w:p>
          <w:p>
            <w:pPr>
              <w:spacing w:after="160"/>
            </w:pPr>
            <w:r>
              <w:rPr>
                <w:rStyle w:val="row-content-rich-text"/>
              </w:rPr>
              <w:t xml:space="preserve">Asthma includes episodes of wheezing, breathlessness and chest tightness due to widespread narrowing of the airways.</w:t>
            </w:r>
          </w:p>
          <w:p>
            <w:pPr>
              <w:spacing w:after="160"/>
            </w:pPr>
            <w:r>
              <w:rPr>
                <w:rStyle w:val="row-content-rich-text"/>
              </w:rPr>
              <w:t xml:space="preserve">CODE 13   Sensory conditions</w:t>
            </w:r>
          </w:p>
          <w:p>
            <w:pPr>
              <w:spacing w:after="160"/>
            </w:pPr>
            <w:r>
              <w:rPr>
                <w:rStyle w:val="row-content-rich-text"/>
              </w:rPr>
              <w:t xml:space="preserve">Sensory (including ear and eye conditions) includes problems with sight or hearing, cataracts, ear ache, issues with spectacles (glasses), hearing aids.</w:t>
            </w:r>
          </w:p>
          <w:p>
            <w:pPr>
              <w:spacing w:after="160"/>
            </w:pPr>
            <w:r>
              <w:rPr>
                <w:rStyle w:val="row-content-rich-text"/>
              </w:rPr>
              <w:t xml:space="preserve">CODE 14   Neurological conditions</w:t>
            </w:r>
          </w:p>
          <w:p>
            <w:pPr>
              <w:spacing w:after="160"/>
            </w:pPr>
            <w:r>
              <w:rPr>
                <w:rStyle w:val="row-content-rich-text"/>
              </w:rPr>
              <w:t xml:space="preserve">Neurological includes treatment for epilepsy, seizures, Parkinsonian symptoms, dizziness, headaches, migraine.</w:t>
            </w:r>
          </w:p>
          <w:p>
            <w:pPr>
              <w:spacing w:after="160"/>
            </w:pPr>
            <w:r>
              <w:rPr>
                <w:rStyle w:val="row-content-rich-text"/>
              </w:rPr>
              <w:t xml:space="preserve">CODE 15   Malignancy/cancer</w:t>
            </w:r>
          </w:p>
          <w:p>
            <w:pPr>
              <w:spacing w:after="160"/>
            </w:pPr>
            <w:r>
              <w:rPr>
                <w:rStyle w:val="row-content-rich-text"/>
              </w:rPr>
              <w:t xml:space="preserve">Malignancy includes cancer (benign tumours, leukaemia, lymphoma, kidney cancer, bladder cancer, digestive system cancer, stomach cancer, bowel cancer, breast cancer, genital cancer, head and neck cancers, liver cancer, lung cancer, nervous system cancers, skin cancer), but excludes non-melanoma skin cancer.</w:t>
            </w:r>
          </w:p>
          <w:p>
            <w:pPr>
              <w:spacing w:after="160"/>
            </w:pPr>
            <w:r>
              <w:rPr>
                <w:rStyle w:val="row-content-rich-text"/>
              </w:rPr>
              <w:t xml:space="preserve">CODE 16   Arthritis</w:t>
            </w:r>
          </w:p>
          <w:p>
            <w:pPr>
              <w:spacing w:after="160"/>
            </w:pPr>
            <w:r>
              <w:rPr>
                <w:rStyle w:val="row-content-rich-text"/>
              </w:rPr>
              <w:t xml:space="preserve">Arthritis includes gout, rheumatism, osteoarthritis, rheumatoid arthritis, other type and arthritis type unknown.</w:t>
            </w:r>
          </w:p>
          <w:p>
            <w:pPr>
              <w:spacing w:after="160"/>
            </w:pPr>
            <w:r>
              <w:rPr>
                <w:rStyle w:val="row-content-rich-text"/>
              </w:rPr>
              <w:t xml:space="preserve">CODE 17   Women’s health conditions</w:t>
            </w:r>
          </w:p>
          <w:p>
            <w:pPr>
              <w:spacing w:after="160"/>
            </w:pPr>
            <w:r>
              <w:rPr>
                <w:rStyle w:val="row-content-rich-text"/>
              </w:rPr>
              <w:t xml:space="preserve">Women’s health includes issues related to menstruation, pregnancy, female re-productive and gynaecological health.</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d97aee0f9004ef0">
              <w:r>
                <w:rPr>
                  <w:rStyle w:val="Hyperlink"/>
                </w:rPr>
                <w:t xml:space="preserve">Prison dischargee—type of health condition diagnosed during imprisonment, health condition code NN</w:t>
              </w:r>
            </w:hyperlink>
          </w:p>
          <w:p>
            <w:pPr>
              <w:spacing w:before="0" w:after="0"/>
            </w:pPr>
            <w:r>
              <w:rPr>
                <w:rStyle w:val="row-content"/>
                <w:color w:val="244061"/>
              </w:rPr>
              <w:t xml:space="preserve">       </w:t>
            </w:r>
            <w:hyperlink w:history="true" r:id="R54f1a394cd354a35">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46613df144461d">
              <w:r>
                <w:rPr>
                  <w:rStyle w:val="Hyperlink"/>
                </w:rPr>
                <w:t xml:space="preserve">Prison dischargee DSS</w:t>
              </w:r>
            </w:hyperlink>
          </w:p>
          <w:p>
            <w:pPr>
              <w:spacing w:before="0" w:after="0"/>
            </w:pPr>
            <w:r>
              <w:rPr>
                <w:rStyle w:val="row-content"/>
                <w:color w:val="244061"/>
              </w:rPr>
              <w:t xml:space="preserve">       </w:t>
            </w:r>
            <w:hyperlink w:history="true" r:id="R09b2cbec8f624daa">
              <w:r>
                <w:rPr>
                  <w:rStyle w:val="Hyperlink"/>
                  <w:color w:val="244061"/>
                </w:rPr>
                <w:t xml:space="preserve">Health</w:t>
              </w:r>
            </w:hyperlink>
            <w:r>
              <w:rPr>
                <w:rStyle w:val="row-content"/>
                <w:color w:val="244061"/>
              </w:rPr>
              <w:t xml:space="preserve">, Superseded 28/04/2016</w:t>
            </w:r>
          </w:p>
          <w:p>
            <w:r>
              <w:rPr>
                <w:rStyle w:val="row-content"/>
                <w:b/>
                <w:i/>
              </w:rPr>
              <w:t xml:space="preserve">Conditional obligation: </w:t>
            </w:r>
          </w:p>
          <w:p>
            <w:r>
              <w:rPr>
                <w:rStyle w:val="row-content"/>
              </w:rPr>
              <w:t xml:space="preserve">Conditional on a yes response to </w:t>
            </w:r>
            <w:hyperlink w:history="true" r:id="R200367e9cb3540ca">
              <w:r>
                <w:rPr>
                  <w:rStyle w:val="Hyperlink"/>
                </w:rPr>
                <w:t xml:space="preserve">Person—specific chronic condition indicator, yes/no code N</w:t>
              </w:r>
            </w:hyperlink>
            <w:r>
              <w:rPr>
                <w:rStyle w:val="row-content"/>
              </w:rPr>
              <w:t xml:space="preserve"> during imprisonment.</w:t>
            </w:r>
          </w:p>
          <w:p>
            <w:r>
              <w:br/>
            </w:r>
            <w:r>
              <w:br/>
            </w:r>
          </w:p>
        </w:tc>
      </w:tr>
    </w:tbl>
    <w:p/>
    <w:tbl>
      <w:tblPr>
        <w:tblStyle w:val="TableGrid"/>
        <w:tblW w:w="0" w:type="auto"/>
      </w:tblPr>
    </w:tbl>
    <w:p>
      <w:r>
        <w:br/>
      </w:r>
    </w:p>
    <w:sectPr>
      <w:footerReference xmlns:r="http://schemas.openxmlformats.org/officeDocument/2006/relationships" w:type="default" r:id="R6b3b036638054c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483945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f4f0a0fd1e44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3b036638054c96" /><Relationship Type="http://schemas.openxmlformats.org/officeDocument/2006/relationships/header" Target="/word/header1.xml" Id="Rf9f75beecffb4978" /><Relationship Type="http://schemas.openxmlformats.org/officeDocument/2006/relationships/settings" Target="/word/settings.xml" Id="Rb965027a03a54edb" /><Relationship Type="http://schemas.openxmlformats.org/officeDocument/2006/relationships/styles" Target="/word/styles.xml" Id="Re4b5234bac724898" /><Relationship Type="http://schemas.openxmlformats.org/officeDocument/2006/relationships/hyperlink" Target="https://meteor.aihw.gov.au/RegistrationAuthority/12" TargetMode="External" Id="R3a0cf1d8e990402e" /><Relationship Type="http://schemas.openxmlformats.org/officeDocument/2006/relationships/hyperlink" Target="https://meteor.aihw.gov.au/content/483940" TargetMode="External" Id="R0fc4f70919b143da" /><Relationship Type="http://schemas.openxmlformats.org/officeDocument/2006/relationships/hyperlink" Target="https://meteor.aihw.gov.au/content/483931" TargetMode="External" Id="R59f4cf3bc8644354" /><Relationship Type="http://schemas.openxmlformats.org/officeDocument/2006/relationships/hyperlink" Target="https://meteor.aihw.gov.au/content/626231" TargetMode="External" Id="Rfd97aee0f9004ef0" /><Relationship Type="http://schemas.openxmlformats.org/officeDocument/2006/relationships/hyperlink" Target="https://meteor.aihw.gov.au/RegistrationAuthority/12" TargetMode="External" Id="R54f1a394cd354a35" /><Relationship Type="http://schemas.openxmlformats.org/officeDocument/2006/relationships/hyperlink" Target="https://meteor.aihw.gov.au/content/482303" TargetMode="External" Id="Rae46613df144461d" /><Relationship Type="http://schemas.openxmlformats.org/officeDocument/2006/relationships/hyperlink" Target="https://meteor.aihw.gov.au/RegistrationAuthority/12" TargetMode="External" Id="R09b2cbec8f624daa" /><Relationship Type="http://schemas.openxmlformats.org/officeDocument/2006/relationships/hyperlink" Target="https://meteor.aihw.gov.au/content/399225" TargetMode="External" Id="R200367e9cb3540ca" /></Relationships>
</file>

<file path=word/_rels/header1.xml.rels>&#65279;<?xml version="1.0" encoding="utf-8"?><Relationships xmlns="http://schemas.openxmlformats.org/package/2006/relationships"><Relationship Type="http://schemas.openxmlformats.org/officeDocument/2006/relationships/image" Target="/media/image.png" Id="R6df4f0a0fd1e44e4" /></Relationships>
</file>