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3f1c932a504eb1" /></Relationships>
</file>

<file path=word/document.xml><?xml version="1.0" encoding="utf-8"?>
<w:document xmlns:r="http://schemas.openxmlformats.org/officeDocument/2006/relationships" xmlns:w="http://schemas.openxmlformats.org/wordprocessingml/2006/main">
  <w:body>
    <w:p>
      <w:pPr>
        <w:pStyle w:val="Title"/>
      </w:pPr>
      <w:r>
        <w:t>Prison entrant—reason for non-utilisation of health service,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entrant—reason for non-utilisation of health service,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non-utilisation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1bee3e0745405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prison entrant did not use a health service when it was needed,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9c59c30d25439c">
              <w:r>
                <w:rPr>
                  <w:rStyle w:val="Hyperlink"/>
                </w:rPr>
                <w:t xml:space="preserve">Prison entrant—reason for non-utilisation of health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7661dd20f94167">
              <w:r>
                <w:rPr>
                  <w:rStyle w:val="Hyperlink"/>
                </w:rPr>
                <w:t xml:space="preserve">Reason for non-utilisation of health service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Cultural/language/discrimination/gender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Felt at the time I didn't need/want to/couldn't be bothered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Transport/distance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Waiting time too long or not available at time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Not available in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Too busy (including work, personal, family responsibilities)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Legal issues (police custody, court, watchouse)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Affected by alcohol or other drugs (including from prescribed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Unable to access at time required (lock down)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reason may be selected.</w:t>
            </w:r>
          </w:p>
          <w:p>
            <w:pPr>
              <w:spacing w:after="160"/>
            </w:pPr>
            <w:r>
              <w:rPr>
                <w:rStyle w:val="row-content-rich-text"/>
              </w:rPr>
              <w:t xml:space="preserve">CODE 01   Cost</w:t>
            </w:r>
          </w:p>
          <w:p>
            <w:pPr>
              <w:spacing w:after="160"/>
            </w:pPr>
            <w:r>
              <w:rPr>
                <w:rStyle w:val="row-content-rich-text"/>
              </w:rPr>
              <w:t xml:space="preserve">Includes all cases where a health service was not sought because it was likely to be unaffordable.</w:t>
            </w:r>
          </w:p>
          <w:p>
            <w:pPr>
              <w:spacing w:after="160"/>
            </w:pPr>
            <w:r>
              <w:rPr>
                <w:rStyle w:val="row-content-rich-text"/>
              </w:rPr>
              <w:t xml:space="preserve">CODE 02   Cultural/language/discrimination/gender</w:t>
            </w:r>
          </w:p>
          <w:p>
            <w:pPr>
              <w:spacing w:after="160"/>
            </w:pPr>
            <w:r>
              <w:rPr>
                <w:rStyle w:val="row-content-rich-text"/>
              </w:rPr>
              <w:t xml:space="preserve">Includes all cases of perceived discrimination at a health service, on the basis of factors such as age, sex, disability, religion or culture, and cases where a health service was not sought because of a perceived lack of cultural consideration (for example, lack of appropriate interpreter services), or no service provider of similar cultural background available.</w:t>
            </w:r>
          </w:p>
          <w:p>
            <w:pPr>
              <w:spacing w:after="160"/>
            </w:pPr>
            <w:r>
              <w:rPr>
                <w:rStyle w:val="row-content-rich-text"/>
              </w:rPr>
              <w:t xml:space="preserve">CODE 03  Felt at the time I didn't need/want to/couldn't be bothered</w:t>
            </w:r>
          </w:p>
          <w:p>
            <w:pPr>
              <w:spacing w:after="160"/>
            </w:pPr>
            <w:r>
              <w:rPr>
                <w:rStyle w:val="row-content-rich-text"/>
              </w:rPr>
              <w:t xml:space="preserve">Includes cases where a health service was not sought because a person either felt that seeking a health service was unnecessary, a person did not want to seek a health service, or a person lacked motivation to seek a health service.</w:t>
            </w:r>
          </w:p>
          <w:p>
            <w:pPr>
              <w:spacing w:after="160"/>
            </w:pPr>
            <w:r>
              <w:rPr>
                <w:rStyle w:val="row-content-rich-text"/>
              </w:rPr>
              <w:t xml:space="preserve">CODE 04   Transport/distance</w:t>
            </w:r>
          </w:p>
          <w:p>
            <w:pPr>
              <w:spacing w:after="160"/>
            </w:pPr>
            <w:r>
              <w:rPr>
                <w:rStyle w:val="row-content-rich-text"/>
              </w:rPr>
              <w:t xml:space="preserve">Includes cases where a health service was not sought either due to lack of available transport to attend the service or the distance required to attend a health service was perceived as being too great.</w:t>
            </w:r>
          </w:p>
          <w:p>
            <w:pPr>
              <w:spacing w:after="160"/>
            </w:pPr>
            <w:r>
              <w:rPr>
                <w:rStyle w:val="row-content-rich-text"/>
              </w:rPr>
              <w:t xml:space="preserve">CODE 05   Waiting time too long or not available at time required</w:t>
            </w:r>
          </w:p>
          <w:p>
            <w:pPr>
              <w:spacing w:after="160"/>
            </w:pPr>
            <w:r>
              <w:rPr>
                <w:rStyle w:val="row-content-rich-text"/>
              </w:rPr>
              <w:t xml:space="preserve">Includes cases where the waiting time for a health service (either expected or actual) was too long, or the health service was not available at the required time.</w:t>
            </w:r>
          </w:p>
          <w:p>
            <w:pPr>
              <w:spacing w:after="160"/>
            </w:pPr>
            <w:r>
              <w:rPr>
                <w:rStyle w:val="row-content-rich-text"/>
              </w:rPr>
              <w:t xml:space="preserve">CODE 06   Not available in area</w:t>
            </w:r>
          </w:p>
          <w:p>
            <w:pPr>
              <w:spacing w:after="160"/>
            </w:pPr>
            <w:r>
              <w:rPr>
                <w:rStyle w:val="row-content-rich-text"/>
              </w:rPr>
              <w:t xml:space="preserve">Includes cases where a health service was not available in the person’s location for example, local community area, prison and so forth.</w:t>
            </w:r>
          </w:p>
          <w:p>
            <w:pPr>
              <w:spacing w:after="160"/>
            </w:pPr>
            <w:r>
              <w:rPr>
                <w:rStyle w:val="row-content-rich-text"/>
              </w:rPr>
              <w:t xml:space="preserve">CODE 07   Too busy</w:t>
            </w:r>
          </w:p>
          <w:p>
            <w:pPr>
              <w:spacing w:after="160"/>
            </w:pPr>
            <w:r>
              <w:rPr>
                <w:rStyle w:val="row-content-rich-text"/>
              </w:rPr>
              <w:t xml:space="preserve">Includes cases where the person was too busy to seek a health service for example, work, personal or family responsibilities.</w:t>
            </w:r>
          </w:p>
          <w:p>
            <w:pPr>
              <w:spacing w:after="160"/>
            </w:pPr>
            <w:r>
              <w:rPr>
                <w:rStyle w:val="row-content-rich-text"/>
              </w:rPr>
              <w:t xml:space="preserve">CODE 08   Legal issues (police custody, court, watchouse)</w:t>
            </w:r>
          </w:p>
          <w:p>
            <w:pPr>
              <w:spacing w:after="160"/>
            </w:pPr>
            <w:r>
              <w:rPr>
                <w:rStyle w:val="row-content-rich-text"/>
              </w:rPr>
              <w:t xml:space="preserve">Includes cases where the person did not seek a health service for legal reasons for example fear of likely arrest, actual arrest, appearance in court or being in custody.</w:t>
            </w:r>
          </w:p>
          <w:p>
            <w:pPr>
              <w:spacing w:after="160"/>
            </w:pPr>
            <w:r>
              <w:rPr>
                <w:rStyle w:val="row-content-rich-text"/>
              </w:rPr>
              <w:t xml:space="preserve">CODE 09   Affected by alcohol or other drugs (including from prescribed drugs)</w:t>
            </w:r>
          </w:p>
          <w:p>
            <w:pPr>
              <w:spacing w:after="160"/>
            </w:pPr>
            <w:r>
              <w:rPr>
                <w:rStyle w:val="row-content-rich-text"/>
              </w:rPr>
              <w:t xml:space="preserve">Includes cases where the person did not seek a health service because they were intoxicated as a result of drug use, alcohol consumption or other causes.</w:t>
            </w:r>
          </w:p>
          <w:p>
            <w:pPr>
              <w:spacing w:after="160"/>
            </w:pPr>
            <w:r>
              <w:rPr>
                <w:rStyle w:val="row-content-rich-text"/>
              </w:rPr>
              <w:t xml:space="preserve">CODE 10   Unable to access at time required (lock down)</w:t>
            </w:r>
          </w:p>
          <w:p>
            <w:pPr>
              <w:spacing w:after="160"/>
            </w:pPr>
            <w:r>
              <w:rPr>
                <w:rStyle w:val="row-content-rich-text"/>
              </w:rPr>
              <w:t xml:space="preserve">Includes cases where the person was unable to attend the health service at the time required because of restrictions.</w:t>
            </w:r>
          </w:p>
          <w:p>
            <w:pPr>
              <w:spacing w:after="160"/>
            </w:pPr>
            <w:r>
              <w:rPr>
                <w:rStyle w:val="row-content-rich-text"/>
              </w:rPr>
              <w:t xml:space="preserve">CODE 11   Other</w:t>
            </w:r>
          </w:p>
          <w:p>
            <w:pPr/>
            <w:r>
              <w:rPr>
                <w:rStyle w:val="row-content-rich-text"/>
              </w:rPr>
              <w:t xml:space="preserve">Includes all reasons not elsewhere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the data elements: </w:t>
            </w:r>
            <w:hyperlink w:history="true" r:id="Raef443f87d7b4fc0">
              <w:r>
                <w:rPr>
                  <w:rStyle w:val="Hyperlink"/>
                </w:rPr>
                <w:t xml:space="preserve">Prison entrant—service provider needed but not utilised indicator, yes/no code N</w:t>
              </w:r>
            </w:hyperlink>
            <w:r>
              <w:rPr>
                <w:rStyle w:val="row-content-rich-text"/>
                <w:i/>
              </w:rPr>
              <w:t xml:space="preserve">; </w:t>
            </w:r>
            <w:hyperlink w:history="true" r:id="Ra98283e7199c45f5">
              <w:r>
                <w:rPr>
                  <w:rStyle w:val="Hyperlink"/>
                </w:rPr>
                <w:t xml:space="preserve">Prison entrant—type of service provider needed but not utilised, occupation code (ANZSCO 2013 Version 1.2) N[NNN]{NN}</w:t>
              </w:r>
            </w:hyperlink>
            <w:r>
              <w:rPr>
                <w:rStyle w:val="row-content-rich-text"/>
              </w:rPr>
              <w:t xml:space="preserve"> and </w:t>
            </w:r>
            <w:hyperlink w:history="true" r:id="Rada20f1f4c5c4054">
              <w:r>
                <w:rPr>
                  <w:rStyle w:val="Hyperlink"/>
                </w:rPr>
                <w:t xml:space="preserve">Health service event—prisoner location when service provider was needed, but not utilised, prisoner location code N</w:t>
              </w:r>
            </w:hyperlink>
            <w:r>
              <w:rPr>
                <w:rStyle w:val="row-content-rich-text"/>
              </w:rPr>
              <w:t xml:space="preserve"> to provide information on the health seeking behaviours of prison entrants.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9a10a04ebe4970">
              <w:r>
                <w:rPr>
                  <w:rStyle w:val="Hyperlink"/>
                </w:rPr>
                <w:t xml:space="preserve">Prison entrant—reason for non-utilisation of health service, code NN</w:t>
              </w:r>
            </w:hyperlink>
          </w:p>
          <w:p>
            <w:pPr>
              <w:spacing w:before="0" w:after="0"/>
            </w:pPr>
            <w:r>
              <w:rPr>
                <w:rStyle w:val="row-content"/>
                <w:color w:val="244061"/>
              </w:rPr>
              <w:t xml:space="preserve">       </w:t>
            </w:r>
            <w:hyperlink w:history="true" r:id="R39d66116572549df">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f4e8be53098347e8">
              <w:r>
                <w:rPr>
                  <w:rStyle w:val="Hyperlink"/>
                </w:rPr>
                <w:t xml:space="preserve">Prison entrant—reason for non-utilisation of health service, code NN</w:t>
              </w:r>
            </w:hyperlink>
          </w:p>
          <w:p>
            <w:pPr>
              <w:spacing w:before="0" w:after="0"/>
            </w:pPr>
            <w:r>
              <w:rPr>
                <w:rStyle w:val="row-content"/>
                <w:color w:val="244061"/>
              </w:rPr>
              <w:t xml:space="preserve">       </w:t>
            </w:r>
            <w:hyperlink w:history="true" r:id="R75cc81ef84104319">
              <w:r>
                <w:rPr>
                  <w:rStyle w:val="Hyperlink"/>
                  <w:color w:val="244061"/>
                </w:rPr>
                <w:t xml:space="preserve">Health</w:t>
              </w:r>
            </w:hyperlink>
            <w:r>
              <w:rPr>
                <w:rStyle w:val="row-content"/>
                <w:color w:val="244061"/>
              </w:rPr>
              <w:t xml:space="preserve">, Qualified 07/03/2024</w:t>
            </w:r>
          </w:p>
          <w:p>
            <w:r>
              <w:br/>
            </w:r>
            <w:r>
              <w:rPr>
                <w:rStyle w:val="row-content"/>
              </w:rPr>
              <w:t xml:space="preserve">See also </w:t>
            </w:r>
            <w:hyperlink w:history="true" r:id="R78e52df03077490b">
              <w:r>
                <w:rPr>
                  <w:rStyle w:val="Hyperlink"/>
                </w:rPr>
                <w:t xml:space="preserve">Health service event—prisoner location when service provider was needed, but not utilised, prisoner location code N</w:t>
              </w:r>
            </w:hyperlink>
          </w:p>
          <w:p>
            <w:pPr>
              <w:spacing w:before="0" w:after="0"/>
            </w:pPr>
            <w:r>
              <w:rPr>
                <w:rStyle w:val="row-content"/>
                <w:color w:val="244061"/>
              </w:rPr>
              <w:t xml:space="preserve">       </w:t>
            </w:r>
            <w:hyperlink w:history="true" r:id="R7dacf99fe64b45fd">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fe00462fa9994acc">
              <w:r>
                <w:rPr>
                  <w:rStyle w:val="Hyperlink"/>
                </w:rPr>
                <w:t xml:space="preserve">Prison entrant—service provider needed but not utilised indicator, yes/no code N</w:t>
              </w:r>
            </w:hyperlink>
          </w:p>
          <w:p>
            <w:pPr>
              <w:spacing w:before="0" w:after="0"/>
            </w:pPr>
            <w:r>
              <w:rPr>
                <w:rStyle w:val="row-content"/>
                <w:color w:val="244061"/>
              </w:rPr>
              <w:t xml:space="preserve">       </w:t>
            </w:r>
            <w:hyperlink w:history="true" r:id="R2202e04226a8458b">
              <w:r>
                <w:rPr>
                  <w:rStyle w:val="Hyperlink"/>
                  <w:color w:val="244061"/>
                </w:rPr>
                <w:t xml:space="preserve">Health</w:t>
              </w:r>
            </w:hyperlink>
            <w:r>
              <w:rPr>
                <w:rStyle w:val="row-content"/>
                <w:color w:val="244061"/>
              </w:rPr>
              <w:t xml:space="preserve">, Standard 25/08/2011</w:t>
            </w:r>
          </w:p>
          <w:p>
            <w:r>
              <w:br/>
            </w:r>
            <w:r>
              <w:rPr>
                <w:rStyle w:val="row-content"/>
              </w:rPr>
              <w:t xml:space="preserve">See also </w:t>
            </w:r>
            <w:hyperlink w:history="true" r:id="Rfc031d5c74e64731">
              <w:r>
                <w:rPr>
                  <w:rStyle w:val="Hyperlink"/>
                </w:rPr>
                <w:t xml:space="preserve">Prison entrant—type of service provider needed but not utilised, occupation code (ANZSCO 2013 Version 1.2) N[NNN]{NN}</w:t>
              </w:r>
            </w:hyperlink>
          </w:p>
          <w:p>
            <w:pPr>
              <w:spacing w:before="0" w:after="0"/>
            </w:pPr>
            <w:r>
              <w:rPr>
                <w:rStyle w:val="row-content"/>
                <w:color w:val="244061"/>
              </w:rPr>
              <w:t xml:space="preserve">       </w:t>
            </w:r>
            <w:hyperlink w:history="true" r:id="R56fc18d774a04cc2">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c5f68854964b29">
              <w:r>
                <w:rPr>
                  <w:rStyle w:val="Hyperlink"/>
                </w:rPr>
                <w:t xml:space="preserve">Health service non-utilisation reason cluster</w:t>
              </w:r>
            </w:hyperlink>
          </w:p>
          <w:p>
            <w:pPr>
              <w:spacing w:before="0" w:after="0"/>
            </w:pPr>
            <w:r>
              <w:rPr>
                <w:rStyle w:val="row-content"/>
                <w:color w:val="244061"/>
              </w:rPr>
              <w:t xml:space="preserve">       </w:t>
            </w:r>
            <w:hyperlink w:history="true" r:id="Rb83d06ccaf124b17">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18/05/2012</w:t>
            </w:r>
            <w:r>
              <w:br/>
            </w:r>
            <w:r>
              <w:rPr>
                <w:rStyle w:val="row-content"/>
                <w:b/>
                <w:i/>
              </w:rPr>
              <w:t xml:space="preserve">Conditional obligation: </w:t>
            </w:r>
          </w:p>
          <w:p>
            <w:r>
              <w:rPr>
                <w:rStyle w:val="row-content"/>
              </w:rPr>
              <w:t xml:space="preserve">Conditional on a 'yes' response to </w:t>
            </w:r>
            <w:hyperlink w:history="true" r:id="R85b0e3a7b56e4bf0">
              <w:r>
                <w:rPr>
                  <w:rStyle w:val="Hyperlink"/>
                </w:rPr>
                <w:t xml:space="preserve">Prison entrant—service provider needed but not utilised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5ce71ea65e564e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482512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057b2cabed42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e71ea65e564e8c" /><Relationship Type="http://schemas.openxmlformats.org/officeDocument/2006/relationships/header" Target="/word/header1.xml" Id="Rbc3c21e4f2184469" /><Relationship Type="http://schemas.openxmlformats.org/officeDocument/2006/relationships/settings" Target="/word/settings.xml" Id="R4944b8799fd94610" /><Relationship Type="http://schemas.openxmlformats.org/officeDocument/2006/relationships/styles" Target="/word/styles.xml" Id="R1d592a9d2d7b4f37" /><Relationship Type="http://schemas.openxmlformats.org/officeDocument/2006/relationships/hyperlink" Target="https://meteor.aihw.gov.au/RegistrationAuthority/12" TargetMode="External" Id="Rfd1bee3e07454057" /><Relationship Type="http://schemas.openxmlformats.org/officeDocument/2006/relationships/hyperlink" Target="https://meteor.aihw.gov.au/content/627160" TargetMode="External" Id="R7f9c59c30d25439c" /><Relationship Type="http://schemas.openxmlformats.org/officeDocument/2006/relationships/hyperlink" Target="https://meteor.aihw.gov.au/content/482510" TargetMode="External" Id="R027661dd20f94167" /><Relationship Type="http://schemas.openxmlformats.org/officeDocument/2006/relationships/hyperlink" Target="https://meteor.aihw.gov.au/content/414715" TargetMode="External" Id="Raef443f87d7b4fc0" /><Relationship Type="http://schemas.openxmlformats.org/officeDocument/2006/relationships/hyperlink" Target="https://meteor.aihw.gov.au/content/626865" TargetMode="External" Id="Ra98283e7199c45f5" /><Relationship Type="http://schemas.openxmlformats.org/officeDocument/2006/relationships/hyperlink" Target="https://meteor.aihw.gov.au/content/627058" TargetMode="External" Id="Rada20f1f4c5c4054" /><Relationship Type="http://schemas.openxmlformats.org/officeDocument/2006/relationships/hyperlink" Target="https://meteor.aihw.gov.au/content/376304" TargetMode="External" Id="R839a10a04ebe4970" /><Relationship Type="http://schemas.openxmlformats.org/officeDocument/2006/relationships/hyperlink" Target="https://meteor.aihw.gov.au/RegistrationAuthority/12" TargetMode="External" Id="R39d66116572549df" /><Relationship Type="http://schemas.openxmlformats.org/officeDocument/2006/relationships/hyperlink" Target="https://meteor.aihw.gov.au/content/697263" TargetMode="External" Id="Rf4e8be53098347e8" /><Relationship Type="http://schemas.openxmlformats.org/officeDocument/2006/relationships/hyperlink" Target="https://meteor.aihw.gov.au/RegistrationAuthority/12" TargetMode="External" Id="R75cc81ef84104319" /><Relationship Type="http://schemas.openxmlformats.org/officeDocument/2006/relationships/hyperlink" Target="https://meteor.aihw.gov.au/content/627058" TargetMode="External" Id="R78e52df03077490b" /><Relationship Type="http://schemas.openxmlformats.org/officeDocument/2006/relationships/hyperlink" Target="https://meteor.aihw.gov.au/RegistrationAuthority/12" TargetMode="External" Id="R7dacf99fe64b45fd" /><Relationship Type="http://schemas.openxmlformats.org/officeDocument/2006/relationships/hyperlink" Target="https://meteor.aihw.gov.au/content/414715" TargetMode="External" Id="Rfe00462fa9994acc" /><Relationship Type="http://schemas.openxmlformats.org/officeDocument/2006/relationships/hyperlink" Target="https://meteor.aihw.gov.au/RegistrationAuthority/12" TargetMode="External" Id="R2202e04226a8458b" /><Relationship Type="http://schemas.openxmlformats.org/officeDocument/2006/relationships/hyperlink" Target="https://meteor.aihw.gov.au/content/626865" TargetMode="External" Id="Rfc031d5c74e64731" /><Relationship Type="http://schemas.openxmlformats.org/officeDocument/2006/relationships/hyperlink" Target="https://meteor.aihw.gov.au/RegistrationAuthority/12" TargetMode="External" Id="R56fc18d774a04cc2" /><Relationship Type="http://schemas.openxmlformats.org/officeDocument/2006/relationships/hyperlink" Target="https://meteor.aihw.gov.au/content/482518" TargetMode="External" Id="Rd4c5f68854964b29" /><Relationship Type="http://schemas.openxmlformats.org/officeDocument/2006/relationships/hyperlink" Target="https://meteor.aihw.gov.au/RegistrationAuthority/12" TargetMode="External" Id="Rb83d06ccaf124b17" /><Relationship Type="http://schemas.openxmlformats.org/officeDocument/2006/relationships/hyperlink" Target="https://meteor.aihw.gov.au/content/414715" TargetMode="External" Id="R85b0e3a7b56e4bf0" /></Relationships>
</file>

<file path=word/_rels/header1.xml.rels>&#65279;<?xml version="1.0" encoding="utf-8"?><Relationships xmlns="http://schemas.openxmlformats.org/package/2006/relationships"><Relationship Type="http://schemas.openxmlformats.org/officeDocument/2006/relationships/image" Target="/media/image.png" Id="R27057b2cabed42ab" /></Relationships>
</file>