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f19c2bce534246" /></Relationships>
</file>

<file path=word/document.xml><?xml version="1.0" encoding="utf-8"?>
<w:document xmlns:r="http://schemas.openxmlformats.org/officeDocument/2006/relationships" xmlns:w="http://schemas.openxmlformats.org/wordprocessingml/2006/main">
  <w:body>
    <w:p>
      <w:pPr>
        <w:pStyle w:val="Title"/>
      </w:pPr>
      <w:r>
        <w:t>Health service non-utilisation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non-utilisation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ca847da2ff4d0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 service non-utilisation cluster defines the non-utilisation of health services in the community and in prison by prison entrants in the last 12 months; and provides a greater understanding of the health seeking behaviours of prison entrants.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service non-utilisation cluster comprises three data elements that in combination provide information on a prison entrant's health seeking behaviours in the community and prison. The data elements are: </w:t>
            </w:r>
            <w:hyperlink w:history="true" r:id="R4fee6e70b8b74d7a">
              <w:r>
                <w:rPr>
                  <w:rStyle w:val="Hyperlink"/>
                </w:rPr>
                <w:t xml:space="preserve">Prison entrant—service provider needed but not utilised indicator, yes/no code N</w:t>
              </w:r>
            </w:hyperlink>
            <w:r>
              <w:rPr>
                <w:rStyle w:val="row-content-rich-text"/>
              </w:rPr>
              <w:t xml:space="preserve">; </w:t>
            </w:r>
            <w:hyperlink w:history="true" r:id="R0d1c75a949f84aad">
              <w:r>
                <w:rPr>
                  <w:rStyle w:val="Hyperlink"/>
                </w:rPr>
                <w:t xml:space="preserve">Prison entrant—type of service provider needed but not utilised, occupation code (ANZSCO 2013 Version 1.2) N[NNN]{NN}</w:t>
              </w:r>
            </w:hyperlink>
            <w:r>
              <w:rPr>
                <w:rStyle w:val="row-content-rich-text"/>
              </w:rPr>
              <w:t xml:space="preserve"> and </w:t>
            </w:r>
            <w:hyperlink w:history="true" r:id="R29bc2e155e394ad4">
              <w:r>
                <w:rPr>
                  <w:rStyle w:val="Hyperlink"/>
                </w:rPr>
                <w:t xml:space="preserve">Health service event—prisoner location when service provider was needed, but not utilised, prisoner location code N</w:t>
              </w:r>
            </w:hyperlink>
            <w:r>
              <w:rPr>
                <w:rStyle w:val="row-content-rich-text"/>
              </w:rPr>
              <w:t xml:space="preserve">.</w:t>
            </w:r>
          </w:p>
          <w:p>
            <w:pPr>
              <w:spacing w:after="160"/>
            </w:pPr>
            <w:r>
              <w:rPr>
                <w:rStyle w:val="row-content-rich-text"/>
              </w:rPr>
              <w:t xml:space="preserve">The Health service non-utilisation cluster defines the following information:</w:t>
            </w:r>
          </w:p>
          <w:tbl>
            <w:tblPr>
              <w:tblStyle w:val="TableGrid"/>
              <w:tblW w:w="5000" w:type="pct"/>
              <w:tblLayout w:type="autofit"/>
            </w:tblPr>
            <w:tblGrid>
              <w:gridCol/>
              <w:gridCol/>
              <w:gridCol/>
            </w:tblGrid>
            <w:tr>
              <w:trPr/>
              <w:tc>
                <w:tcPr>
                  <w:tcW w:w="2500" w:type="pct"/>
                  <w:vAlign w:val="top"/>
                </w:tcPr>
                <w:p>
                  <w:pPr/>
                  <w:r>
                    <w:rPr>
                      <w:rStyle w:val="row-content-rich-text"/>
                      <w:b/>
                    </w:rPr>
                    <w:t xml:space="preserve">Health service provider not consulted  </w:t>
                  </w:r>
                </w:p>
              </w:tc>
              <w:tc>
                <w:tcPr>
                  <w:tcW w:w="1350" w:type="pct"/>
                  <w:vAlign w:val="top"/>
                </w:tcPr>
                <w:p>
                  <w:r>
                    <w:rPr>
                      <w:b/>
                    </w:rPr>
                    <w:t xml:space="preserve">Location of prisoner:            Community </w:t>
                  </w:r>
                </w:p>
              </w:tc>
              <w:tc>
                <w:tcPr>
                  <w:tcW w:w="1100" w:type="pct"/>
                  <w:vAlign w:val="top"/>
                </w:tcPr>
                <w:p>
                  <w:r>
                    <w:rPr>
                      <w:b/>
                    </w:rPr>
                    <w:t xml:space="preserve">Location of prisoner: Prison</w:t>
                  </w:r>
                </w:p>
              </w:tc>
            </w:tr>
            <w:tr>
              <w:trPr/>
              <w:tc>
                <w:tcPr>
                  <w:tcW w:w="2500" w:type="pct"/>
                  <w:vAlign w:val="top"/>
                </w:tcPr>
                <w:p>
                  <w:r>
                    <w:t xml:space="preserve">Medical practitioner (Doctor/GP)</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Nurse</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Alcohol and drug-worker</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Aboriginal health worker</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Dentist</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Psychologist</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Psychiatrist</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Social worker/welfare officer</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Mental health nurse/team</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Physiotherapist</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Radiographer</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Other</w:t>
                  </w:r>
                </w:p>
              </w:tc>
              <w:tc>
                <w:tcPr>
                  <w:tcW w:w="1350" w:type="pct"/>
                  <w:vAlign w:val="top"/>
                </w:tcPr>
                <w:p>
                  <w:r>
                    <w:t xml:space="preserve">Y/N</w:t>
                  </w:r>
                </w:p>
              </w:tc>
              <w:tc>
                <w:tcPr>
                  <w:tcW w:w="1100" w:type="pct"/>
                  <w:vAlign w:val="top"/>
                </w:tcPr>
                <w:p>
                  <w:r>
                    <w:t xml:space="preserve">Y/N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health service non-utilisation is provided at the reception assessment on the National Prisoner Health Data Collection Prison Entrants form. Only prison entrants who have been in prison in the last 12 months may provide responses to the 'Prison' category.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0fc923a9cf47c0">
              <w:r>
                <w:rPr>
                  <w:rStyle w:val="Hyperlink"/>
                </w:rPr>
                <w:t xml:space="preserve">Health service non-utilisation cluster</w:t>
              </w:r>
            </w:hyperlink>
          </w:p>
          <w:p>
            <w:pPr>
              <w:spacing w:before="0" w:after="0"/>
            </w:pPr>
            <w:r>
              <w:rPr>
                <w:rStyle w:val="row-content"/>
                <w:color w:val="244061"/>
              </w:rPr>
              <w:t xml:space="preserve">       </w:t>
            </w:r>
            <w:hyperlink w:history="true" r:id="R7651b214015f4c11">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ceee8f0bfd704b06">
              <w:r>
                <w:rPr>
                  <w:rStyle w:val="Hyperlink"/>
                </w:rPr>
                <w:t xml:space="preserve">Health service non-utilisation cluster</w:t>
              </w:r>
            </w:hyperlink>
          </w:p>
          <w:p>
            <w:pPr>
              <w:spacing w:before="0" w:after="0"/>
            </w:pPr>
            <w:r>
              <w:rPr>
                <w:rStyle w:val="row-content"/>
                <w:color w:val="244061"/>
              </w:rPr>
              <w:t xml:space="preserve">       </w:t>
            </w:r>
            <w:hyperlink w:history="true" r:id="R5f2c48d60b9e4fca">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17a72fa6abde41b2">
              <w:r>
                <w:rPr>
                  <w:rStyle w:val="Hyperlink"/>
                </w:rPr>
                <w:t xml:space="preserve">Prison entrant—imprisonment in the last 12 months indicator, prisoner health yes/no/unknown code N</w:t>
              </w:r>
            </w:hyperlink>
          </w:p>
          <w:p>
            <w:pPr>
              <w:spacing w:before="0" w:after="0"/>
            </w:pPr>
            <w:r>
              <w:rPr>
                <w:rStyle w:val="row-content"/>
                <w:color w:val="244061"/>
              </w:rPr>
              <w:t xml:space="preserve">       </w:t>
            </w:r>
            <w:hyperlink w:history="true" r:id="R620c7458a6f64e24">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a7b14ad2088d4c7c">
              <w:r>
                <w:rPr>
                  <w:rStyle w:val="Hyperlink"/>
                </w:rPr>
                <w:t xml:space="preserve">Prison entrant—imprisonment in the last 12 months indicator, yes/no code N</w:t>
              </w:r>
            </w:hyperlink>
          </w:p>
          <w:p>
            <w:pPr>
              <w:spacing w:before="0" w:after="0"/>
            </w:pPr>
            <w:r>
              <w:rPr>
                <w:rStyle w:val="row-content"/>
                <w:color w:val="244061"/>
              </w:rPr>
              <w:t xml:space="preserve">       </w:t>
            </w:r>
            <w:hyperlink w:history="true" r:id="R9d6846caa62844e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4dff4ae3c24e1c">
              <w:r>
                <w:rPr>
                  <w:rStyle w:val="Hyperlink"/>
                </w:rPr>
                <w:t xml:space="preserve">Prison entrants NBEDS</w:t>
              </w:r>
            </w:hyperlink>
          </w:p>
          <w:p>
            <w:pPr>
              <w:spacing w:before="0" w:after="0"/>
            </w:pPr>
            <w:r>
              <w:rPr>
                <w:rStyle w:val="row-content"/>
                <w:color w:val="244061"/>
              </w:rPr>
              <w:t xml:space="preserve">       </w:t>
            </w:r>
            <w:hyperlink w:history="true" r:id="R69b853bffcfe45c3">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0c0b7229a75401a">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ac5c0ac957b4f28">
                    <w:r>
                      <w:rPr>
                        <w:rStyle w:val="Hyperlink"/>
                      </w:rPr>
                      <w:t xml:space="preserve">Prison entrant—type of service provider needed but not utilised, occupation code (ANZSCO 2013 Version 1.2) N[NNN]{NN}</w:t>
                    </w:r>
                  </w:hyperlink>
                </w:p>
                <w:p>
                  <w:r>
                    <w:rPr>
                      <w:b/>
                      <w:i/>
                      <w:color w:val="333333"/>
                    </w:rPr>
                    <w:t xml:space="preserve">Conditional obligation:</w:t>
                  </w:r>
                </w:p>
                <w:p>
                  <w:r>
                    <w:t xml:space="preserve">Conditional on the prison entrant indicating that he or she needed to consult with a service</w:t>
                  </w:r>
                  <w:r>
                    <w:rPr>
                      <w:i/>
                    </w:rPr>
                    <w:t xml:space="preserve"> </w:t>
                  </w:r>
                  <w:r>
                    <w:t xml:space="preserve">provider for their own health but did not.</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t xml:space="preserve">Information about the service provider roles, registration and licensing requirements and ANZSCO occupation codes are detailed below:</w:t>
                  </w:r>
                </w:p>
                <w:p>
                  <w: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t xml:space="preserve">Physiotherapists assess, treat and prevent disorders in human movement caused by injury or disease. This permissible value maps to occupation 252511 (Physiotherapist) of the ANZSCO classification scheme.</w:t>
                  </w:r>
                </w:p>
                <w:p>
                  <w: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a93d69ff6ce475f">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the prison entrant indicating that he or she needed to consult with a service provider for their own health but did not.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780736ba96348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482507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9d00d104484e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80736ba9634865" /><Relationship Type="http://schemas.openxmlformats.org/officeDocument/2006/relationships/header" Target="/word/header1.xml" Id="R69a2a84c7e1f49e3" /><Relationship Type="http://schemas.openxmlformats.org/officeDocument/2006/relationships/settings" Target="/word/settings.xml" Id="R8443eb65c9624c18" /><Relationship Type="http://schemas.openxmlformats.org/officeDocument/2006/relationships/styles" Target="/word/styles.xml" Id="Rc81150f67dfe4b22" /><Relationship Type="http://schemas.openxmlformats.org/officeDocument/2006/relationships/hyperlink" Target="https://meteor.aihw.gov.au/RegistrationAuthority/12" TargetMode="External" Id="R75ca847da2ff4d09" /><Relationship Type="http://schemas.openxmlformats.org/officeDocument/2006/relationships/hyperlink" Target="https://meteor.aihw.gov.au/content/414715" TargetMode="External" Id="R4fee6e70b8b74d7a" /><Relationship Type="http://schemas.openxmlformats.org/officeDocument/2006/relationships/hyperlink" Target="https://meteor.aihw.gov.au/content/626865" TargetMode="External" Id="R0d1c75a949f84aad" /><Relationship Type="http://schemas.openxmlformats.org/officeDocument/2006/relationships/hyperlink" Target="https://meteor.aihw.gov.au/content/627058" TargetMode="External" Id="R29bc2e155e394ad4" /><Relationship Type="http://schemas.openxmlformats.org/officeDocument/2006/relationships/hyperlink" Target="https://meteor.aihw.gov.au/content/412707" TargetMode="External" Id="Rfe0fc923a9cf47c0" /><Relationship Type="http://schemas.openxmlformats.org/officeDocument/2006/relationships/hyperlink" Target="https://meteor.aihw.gov.au/RegistrationAuthority/12" TargetMode="External" Id="R7651b214015f4c11" /><Relationship Type="http://schemas.openxmlformats.org/officeDocument/2006/relationships/hyperlink" Target="https://meteor.aihw.gov.au/content/768606" TargetMode="External" Id="Rceee8f0bfd704b06" /><Relationship Type="http://schemas.openxmlformats.org/officeDocument/2006/relationships/hyperlink" Target="https://meteor.aihw.gov.au/RegistrationAuthority/12" TargetMode="External" Id="R5f2c48d60b9e4fca" /><Relationship Type="http://schemas.openxmlformats.org/officeDocument/2006/relationships/hyperlink" Target="https://meteor.aihw.gov.au/content/631554" TargetMode="External" Id="R17a72fa6abde41b2" /><Relationship Type="http://schemas.openxmlformats.org/officeDocument/2006/relationships/hyperlink" Target="https://meteor.aihw.gov.au/RegistrationAuthority/12" TargetMode="External" Id="R620c7458a6f64e24" /><Relationship Type="http://schemas.openxmlformats.org/officeDocument/2006/relationships/hyperlink" Target="https://meteor.aihw.gov.au/content/408416" TargetMode="External" Id="Ra7b14ad2088d4c7c" /><Relationship Type="http://schemas.openxmlformats.org/officeDocument/2006/relationships/hyperlink" Target="https://meteor.aihw.gov.au/RegistrationAuthority/12" TargetMode="External" Id="R9d6846caa62844e0" /><Relationship Type="http://schemas.openxmlformats.org/officeDocument/2006/relationships/hyperlink" Target="https://meteor.aihw.gov.au/content/482353" TargetMode="External" Id="R354dff4ae3c24e1c" /><Relationship Type="http://schemas.openxmlformats.org/officeDocument/2006/relationships/hyperlink" Target="https://meteor.aihw.gov.au/RegistrationAuthority/12" TargetMode="External" Id="R69b853bffcfe45c3" /><Relationship Type="http://schemas.openxmlformats.org/officeDocument/2006/relationships/hyperlink" Target="https://meteor.aihw.gov.au/content/414715" TargetMode="External" Id="R30c0b7229a75401a" /><Relationship Type="http://schemas.openxmlformats.org/officeDocument/2006/relationships/hyperlink" Target="https://meteor.aihw.gov.au/content/626865" TargetMode="External" Id="Rbac5c0ac957b4f28" /><Relationship Type="http://schemas.openxmlformats.org/officeDocument/2006/relationships/hyperlink" Target="https://meteor.aihw.gov.au/content/627058" TargetMode="External" Id="R2a93d69ff6ce475f" /></Relationships>
</file>

<file path=word/_rels/header1.xml.rels>&#65279;<?xml version="1.0" encoding="utf-8"?><Relationships xmlns="http://schemas.openxmlformats.org/package/2006/relationships"><Relationship Type="http://schemas.openxmlformats.org/officeDocument/2006/relationships/image" Target="/media/image.png" Id="R269d00d104484e69" /></Relationships>
</file>