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e8025c9a954b0b" /></Relationships>
</file>

<file path=word/document.xml><?xml version="1.0" encoding="utf-8"?>
<w:document xmlns:r="http://schemas.openxmlformats.org/officeDocument/2006/relationships" xmlns:w="http://schemas.openxmlformats.org/wordprocessingml/2006/main">
  <w:body>
    <w:p>
      <w:pPr>
        <w:pStyle w:val="Title"/>
      </w:pPr>
      <w:r>
        <w:t>Medical Indemnity National Collection (Private Sector)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National Collection (Private Sector)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6c77fd58c94570">
              <w:r>
                <w:rPr>
                  <w:rStyle w:val="Hyperlink"/>
                  <w:color w:val="244061"/>
                </w:rPr>
                <w:t xml:space="preserve">AIHW Data Quality Statements</w:t>
              </w:r>
            </w:hyperlink>
            <w:r>
              <w:rPr>
                <w:rStyle w:val="row-content"/>
                <w:color w:val="244061"/>
              </w:rPr>
              <w:t xml:space="preserve">, Standard 18/05/2012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Medical Indemnity National Collection (Private Sector), or MINC (Private Sector), is a dataset that contains information on the number, nature and costs of private sector medical indemnity claims in Australia. Medical indemnity claims are claims for compensation for harm or other loss allegedly due to the delivery of health care.</w:t>
            </w:r>
          </w:p>
          <w:p>
            <w:pPr>
              <w:spacing w:after="160"/>
            </w:pPr>
            <w:r>
              <w:rPr>
                <w:rStyle w:val="row-content-rich-text"/>
              </w:rPr>
              <w:t xml:space="preserve">Data on medical indemnity claims may change over the life of a claim as new information becomes available or the reserve amount set against the likely cost of closing the claim is revised.</w:t>
            </w:r>
          </w:p>
          <w:p>
            <w:pPr>
              <w:spacing w:after="160"/>
            </w:pPr>
            <w:r>
              <w:rPr>
                <w:rStyle w:val="row-content-rich-text"/>
              </w:rPr>
              <w:t xml:space="preserve">Although there are coding specifications for private sector medical indemnity claims data, there are some variations between medical indemnity insurers (MIIs) in how they report medical indemnity claims.</w:t>
            </w:r>
          </w:p>
          <w:p>
            <w:pPr>
              <w:spacing w:after="160"/>
            </w:pPr>
            <w:r>
              <w:rPr>
                <w:rStyle w:val="row-content-rich-text"/>
              </w:rPr>
              <w:t xml:space="preserve">Medical doctors and some other clinicians who work in the private sector are required to hold professional indemnification to cover costs of claims for compensation arising from allegations of problems with the delivery of health-care services.</w:t>
            </w:r>
          </w:p>
          <w:p>
            <w:pPr>
              <w:spacing w:after="160"/>
            </w:pPr>
            <w:r>
              <w:rPr>
                <w:rStyle w:val="row-content-rich-text"/>
              </w:rPr>
              <w:t xml:space="preserve">The MINC (Private Sector) contains data about claims managed by private sector medical indemnity insurers. The claims reported by the MIIs to the AIHW are the same claims that they are required to report to the Australian Prudential Regulation Authority (APRA).</w:t>
            </w:r>
          </w:p>
          <w:p>
            <w:pPr>
              <w:spacing w:after="160"/>
            </w:pPr>
            <w:r>
              <w:rPr>
                <w:rStyle w:val="row-content-rich-text"/>
              </w:rPr>
              <w:t xml:space="preserve">The MINC (Private Sector) includes:</w:t>
            </w:r>
          </w:p>
          <w:p>
            <w:pPr>
              <w:pStyle w:val="ListParagraph"/>
              <w:numPr>
                <w:ilvl w:val="0"/>
                <w:numId w:val="2"/>
              </w:numPr>
            </w:pPr>
            <w:r>
              <w:rPr>
                <w:rStyle w:val="row-content-rich-text"/>
              </w:rPr>
              <w:t xml:space="preserve">basic demographic information on the ‘claim subject’ (patient) at the centre of the alleged health-care incident</w:t>
            </w:r>
          </w:p>
          <w:p>
            <w:pPr>
              <w:pStyle w:val="ListParagraph"/>
              <w:numPr>
                <w:ilvl w:val="0"/>
                <w:numId w:val="2"/>
              </w:numPr>
            </w:pPr>
            <w:r>
              <w:rPr>
                <w:rStyle w:val="row-content-rich-text"/>
              </w:rPr>
              <w:t xml:space="preserve">related information such as the type of incident or allegation and the clinician specialties involved</w:t>
            </w:r>
          </w:p>
          <w:p>
            <w:pPr>
              <w:pStyle w:val="ListParagraph"/>
              <w:numPr>
                <w:ilvl w:val="0"/>
                <w:numId w:val="2"/>
              </w:numPr>
            </w:pPr>
            <w:r>
              <w:rPr>
                <w:rStyle w:val="row-content-rich-text"/>
              </w:rPr>
              <w:t xml:space="preserve">the reserve amount set against the likely cost of settling the medical indemnity claim</w:t>
            </w:r>
          </w:p>
          <w:p>
            <w:pPr>
              <w:pStyle w:val="ListParagraph"/>
              <w:numPr>
                <w:ilvl w:val="0"/>
                <w:numId w:val="2"/>
              </w:numPr>
            </w:pPr>
            <w:r>
              <w:rPr>
                <w:rStyle w:val="row-content-rich-text"/>
              </w:rPr>
              <w:t xml:space="preserve">the time between setting the reserve and closing the medical indemnity claim, and</w:t>
            </w:r>
          </w:p>
          <w:p>
            <w:pPr>
              <w:pStyle w:val="ListParagraph"/>
              <w:numPr>
                <w:ilvl w:val="0"/>
                <w:numId w:val="2"/>
              </w:numPr>
            </w:pPr>
            <w:r>
              <w:rPr>
                <w:rStyle w:val="row-content-rich-text"/>
              </w:rPr>
              <w:t xml:space="preserve">the cost of closing the medical indemnity claim and the nature of any compensatory payments.</w:t>
            </w:r>
          </w:p>
          <w:p>
            <w:pPr/>
            <w:r>
              <w:rPr>
                <w:rStyle w:val="row-content-rich-text"/>
              </w:rPr>
              <w:t xml:space="preserve">The MINC (Private Sector) includes data for each financial year from 2005–06 to 2009–10. The 2010–11 data cover the period from 1 July 2010 to 30 June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statutory authority established in 1987, governed by a management Board, and accountable to the Australian Parliament through the Health and Ageing portfolio. 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(Cth) ensures that the data collections managed by the AIHW are kept securely and under the strictest conditions with respect to privacy and confidentiality. For further information see the AIHW website </w:t>
            </w:r>
            <w:hyperlink w:history="true" r:id="Rc572199a84a4488d">
              <w:r>
                <w:rPr>
                  <w:rStyle w:val="Hyperlink"/>
                </w:rPr>
                <w:t xml:space="preserve">www.aihw.gov.au</w:t>
              </w:r>
            </w:hyperlink>
            <w:r>
              <w:rPr>
                <w:rStyle w:val="row-content-rich-text"/>
              </w:rPr>
              <w:t xml:space="preserve">.</w:t>
            </w:r>
          </w:p>
          <w:p>
            <w:pPr>
              <w:spacing w:after="160"/>
            </w:pPr>
            <w:r>
              <w:rPr>
                <w:rStyle w:val="row-content-rich-text"/>
              </w:rPr>
              <w:t xml:space="preserve">In 2004, the Australian Government introduced the Premium Support Scheme (PSS) as part of a comprehensive medical indemnity package to help eligible clinicians meet the cost of their private medical indemnity insurance. Under the PSS the Australian Government entered into standard contracts with MIIs which require MIIs to provide medical indemnity claims data to the AIHW.</w:t>
            </w:r>
          </w:p>
          <w:p>
            <w:pPr/>
            <w:r>
              <w:rPr>
                <w:rStyle w:val="row-content-rich-text"/>
              </w:rPr>
              <w:t xml:space="preserve">The MINC Coordinating Committee (MINC CC) oversees the AIHW’s collection and use of the MINC (Private Sector) data. The MINC CC includes representatives from the state and territory health authorities, the Australian Government Department of Health and Ageing, the AIHW and each of the MIIs.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approaches MIIs and/or their reporting agent (Insurance Statistics Australia (ISA)) for MINC (Private Sector) data once the public sector medical indemnity claims data have been received and are on track for final validation. The AIHW received, cleaned and validated the MINC (Private Sector) 2010–11 data over the period November 2011 to March 2012.</w:t>
            </w:r>
          </w:p>
          <w:p>
            <w:pPr/>
            <w:r>
              <w:rPr>
                <w:rStyle w:val="row-content-rich-text"/>
              </w:rPr>
              <w:t xml:space="preserve">The AIHW is publishing data from the MINC (Private sector) in the </w:t>
            </w:r>
            <w:r>
              <w:rPr>
                <w:rStyle w:val="row-content-rich-text"/>
                <w:i/>
              </w:rPr>
              <w:t xml:space="preserve">Australia's medical indemnity claims 2010–11</w:t>
            </w:r>
            <w:r>
              <w:rPr>
                <w:rStyle w:val="row-content-rich-text"/>
              </w:rPr>
              <w:t xml:space="preserve"> report in August 2012. The original planned date for release of the report was June 2012.</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Australia's medical indemnity claims 2010–11</w:t>
            </w:r>
            <w:r>
              <w:rPr>
                <w:rStyle w:val="row-content-rich-text"/>
              </w:rPr>
              <w:t xml:space="preserve"> is the sixth report in its series. All are available without charge on the AIHW website. Links to the reports are listed sequentially at:</w:t>
            </w:r>
            <w:r>
              <w:br/>
            </w:r>
            <w:hyperlink w:history="true" r:id="Rc8c8acded43c4420">
              <w:r>
                <w:rPr>
                  <w:rStyle w:val="Hyperlink"/>
                </w:rPr>
                <w:t xml:space="preserve">http://www.aihw.gov.au/publications/medical-indemnity/</w:t>
              </w:r>
            </w:hyperlink>
            <w:r>
              <w:rPr>
                <w:rStyle w:val="row-content-rich-text"/>
              </w:rPr>
              <w:t xml:space="preserve">.</w:t>
            </w:r>
          </w:p>
          <w:p>
            <w:pPr/>
            <w:r>
              <w:rPr>
                <w:rStyle w:val="row-content-rich-text"/>
              </w:rPr>
              <w:t xml:space="preserve">Any other release of private sector medical indemnity claims data, or aggregated public and private sector data, is subject to unanimous consent by the members of the MINC CC. Apart from claim numbers by sector, all published data that uses MINC private sector data combines it with public sector data.</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 the interpretation of the combined public and private sector medical indemnity claims data may be found in ‘Appendix 1: Data items and definitions’ of the </w:t>
            </w:r>
            <w:r>
              <w:rPr>
                <w:rStyle w:val="row-content-rich-text"/>
                <w:i/>
              </w:rPr>
              <w:t xml:space="preserve">Australia's medical indemnity claims 2010–11</w:t>
            </w:r>
            <w:r>
              <w:rPr>
                <w:rStyle w:val="row-content-rich-text"/>
              </w:rPr>
              <w:t xml:space="preserve"> report. The information specifies how the public and private sector code values relate to each other and any areas where there is not complete agreement between the two sets of code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Scope and coverage</w:t>
            </w:r>
            <w:r>
              <w:br/>
            </w:r>
            <w:r>
              <w:rPr>
                <w:rStyle w:val="row-content-rich-text"/>
                <w:u w:val="single"/>
              </w:rPr>
              <w:t xml:space="preserve"> </w:t>
            </w:r>
            <w:r>
              <w:rPr>
                <w:rStyle w:val="row-content-rich-text"/>
              </w:rPr>
              <w:t xml:space="preserve">The MINC (Private Sector) includes information on medical indemnity claims against individual practitioners who were covered by insurance with an MII for the purposes of the claim. In 2010–11, as in previous years, all private sector medical indemnity claims legally required to be reported to APRA were reported to the AIHW. Some of the claims reported by MIIs relate to medical defence organisation (MDO) run-off, which is a scheme for claims lodged with private sector medical indemnity insurers in the years when they were still organised as MDOs rather than MIIs.</w:t>
            </w:r>
          </w:p>
          <w:p>
            <w:pPr>
              <w:spacing w:after="160"/>
            </w:pPr>
            <w:r>
              <w:rPr>
                <w:rStyle w:val="row-content-rich-text"/>
              </w:rPr>
              <w:t xml:space="preserve">Most of the reported claims in scope have arisen from a formal demand for compensation for alleged harm or other loss to the patient and/or a related party. The scope also includes cases where an MII has incurred preparatory expenses from investigating health-care incidents reported to the MII by an insured clinician. With those cases, the MII is legally obliged to report the potential claim to APRA even if no formal demand for compensation has been received.</w:t>
            </w:r>
          </w:p>
          <w:p>
            <w:pPr>
              <w:spacing w:after="160"/>
            </w:pPr>
            <w:r>
              <w:rPr>
                <w:rStyle w:val="row-content-rich-text"/>
              </w:rPr>
              <w:t xml:space="preserve">Private hospital insurance claims, that is, claims against hospitals or hospital employees, do not fall within the scope of the MINC (Private Sector). However, all claims against clinicians who maintain medical indemnity cover with an MII, and who practise within private hospitals, are included.</w:t>
            </w:r>
          </w:p>
          <w:p>
            <w:pPr>
              <w:spacing w:after="160"/>
            </w:pPr>
            <w:r>
              <w:rPr>
                <w:rStyle w:val="row-content-rich-text"/>
              </w:rPr>
              <w:t xml:space="preserve">The MINC (Private Sector) does not include information on health-care incidents or adverse events which have not led to a claim for compensation or which have not resulted in preparatory costs to an MII.</w:t>
            </w:r>
          </w:p>
          <w:p>
            <w:pPr>
              <w:spacing w:after="160"/>
            </w:pPr>
            <w:r>
              <w:rPr>
                <w:rStyle w:val="row-content-rich-text"/>
              </w:rPr>
              <w:t xml:space="preserve">Many of the data items in the MINC (Private Sector) collect information on the patient or ‘claim subject’, the person who received the health-care service and was involved in the health-care incident that is the basis for the claim, and who may have suffered or did suffer, harm or other loss as a result. The patient may or may not be a claimant, that is, the person(s) pursuing the claim. Where the MII is investigating a case reported by an insured clinician, there may be no claimant. Information is not collected on the claimant as such.</w:t>
            </w:r>
          </w:p>
          <w:p>
            <w:pPr>
              <w:spacing w:after="160"/>
            </w:pPr>
            <w:r>
              <w:rPr>
                <w:rStyle w:val="row-content-rich-text"/>
                <w:u w:val="single"/>
              </w:rPr>
              <w:t xml:space="preserve">Reference period</w:t>
            </w:r>
            <w:r>
              <w:br/>
            </w:r>
            <w:r>
              <w:rPr>
                <w:rStyle w:val="row-content-rich-text"/>
                <w:u w:val="single"/>
              </w:rPr>
              <w:t xml:space="preserve"> </w:t>
            </w:r>
            <w:r>
              <w:rPr>
                <w:rStyle w:val="row-content-rich-text"/>
              </w:rPr>
              <w:t xml:space="preserve">The MINC (Private Sector) 2010–11 data includes new claims in scope that have arisen between 1 July 2010 and 30 June 2011, previously closed claims that were reopened during the year, and ongoing claims from the previous year.</w:t>
            </w:r>
          </w:p>
          <w:p>
            <w:pPr/>
            <w:r>
              <w:rPr>
                <w:rStyle w:val="row-content-rich-text"/>
                <w:u w:val="single"/>
              </w:rPr>
              <w:t xml:space="preserve">Indigenous identification</w:t>
            </w:r>
            <w:r>
              <w:br/>
            </w:r>
            <w:r>
              <w:rPr>
                <w:rStyle w:val="row-content-rich-text"/>
                <w:u w:val="single"/>
              </w:rPr>
              <w:t xml:space="preserve"> </w:t>
            </w:r>
            <w:r>
              <w:rPr>
                <w:rStyle w:val="row-content-rich-text"/>
              </w:rPr>
              <w:t xml:space="preserve">No information on claim subjects’ Indigenous identification is collected.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MINC (Private Sector) includes a combination of unit record and aggregated claims data. The MIIs can elect to submit their data either directly to the AIHW, as unit records or as aggregated data in a pre-publication format, or through ISA. ISA provides MII data to the AIHW as aggregated data. The MII data submitted as unit records is in accordance with the specifications of the Medical Indemnity National Collection (Public Sector).</w:t>
            </w:r>
          </w:p>
          <w:p>
            <w:pPr>
              <w:spacing w:after="160"/>
            </w:pPr>
            <w:r>
              <w:rPr>
                <w:rStyle w:val="row-content-rich-text"/>
                <w:u w:val="single"/>
              </w:rPr>
              <w:t xml:space="preserve">Data quality</w:t>
            </w:r>
            <w:r>
              <w:br/>
            </w:r>
            <w:r>
              <w:rPr>
                <w:rStyle w:val="row-content-rich-text"/>
                <w:u w:val="single"/>
              </w:rPr>
              <w:t xml:space="preserve"> </w:t>
            </w:r>
            <w:r>
              <w:rPr>
                <w:rStyle w:val="row-content-rich-text"/>
              </w:rPr>
              <w:t xml:space="preserve">Data providers are primarily responsible for the quality of the data they provide. However, the AIHW undertakes extensive validations on receipt of data. Data are checked for valid values, logical consistency and historical consistency. Potential errors are queried with data providers, and corrections and resubmissions may be made in response to these edit queries. The AIHW does not adjust data to account for possible data errors or missing or incorrect values.</w:t>
            </w:r>
          </w:p>
          <w:p>
            <w:pPr/>
            <w:r>
              <w:rPr>
                <w:rStyle w:val="row-content-rich-text"/>
                <w:i/>
              </w:rPr>
              <w:t xml:space="preserve">Not known</w:t>
            </w:r>
            <w:r>
              <w:rPr>
                <w:rStyle w:val="row-content-rich-text"/>
              </w:rPr>
              <w:t xml:space="preserve"> responses</w:t>
            </w:r>
            <w:r>
              <w:br/>
            </w:r>
            <w:r>
              <w:rPr>
                <w:rStyle w:val="row-content-rich-text"/>
              </w:rPr>
              <w:t xml:space="preserve">The time required to collect all the information relevant to a medical indemnity claim can be lengthy. A coding of </w:t>
            </w:r>
            <w:r>
              <w:rPr>
                <w:rStyle w:val="row-content-rich-text"/>
                <w:i/>
              </w:rPr>
              <w:t xml:space="preserve">Not known</w:t>
            </w:r>
            <w:r>
              <w:rPr>
                <w:rStyle w:val="row-content-rich-text"/>
              </w:rPr>
              <w:t xml:space="preserve"> is used when information is not currently available but may become available during the lifetime of a claim. The interpretation of the proportions for a number of data items will be affected by the relatively high </w:t>
            </w:r>
            <w:r>
              <w:rPr>
                <w:rStyle w:val="row-content-rich-text"/>
                <w:i/>
              </w:rPr>
              <w:t xml:space="preserve">Not known</w:t>
            </w:r>
            <w:r>
              <w:rPr>
                <w:rStyle w:val="row-content-rich-text"/>
              </w:rPr>
              <w:t xml:space="preserve"> rates, especially for claims that are new, which tend to have the highest </w:t>
            </w:r>
            <w:r>
              <w:rPr>
                <w:rStyle w:val="row-content-rich-text"/>
                <w:i/>
              </w:rPr>
              <w:t xml:space="preserve">Not known</w:t>
            </w:r>
            <w:r>
              <w:rPr>
                <w:rStyle w:val="row-content-rich-text"/>
              </w:rPr>
              <w:t xml:space="preserve"> rates.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MINC (Private Sector) specifications were developed as a common ground between two previously established data set specifications. One of these was the AIHW’s MINC (Public Sector) in use for recording public sector medical indemnity claims data. The other was the National Claims and Policies Database (NCPD) developed by APRA for claims data from MIIs. In consultation with APRA and the AIHW, ISA developed an expanded version of the NCPD. This allowed ISA to report to APRA claims data from MIIs that were members of the Medical Indemnity Insurance Association of Australia, and to report to AIHW claims data from the same MIIs.</w:t>
            </w:r>
          </w:p>
          <w:p>
            <w:pPr>
              <w:spacing w:after="160"/>
            </w:pPr>
            <w:r>
              <w:rPr>
                <w:rStyle w:val="row-content-rich-text"/>
              </w:rPr>
              <w:t xml:space="preserve">The reported data from the MINC (Private Sector) are the common ground between the MINC (Public Sector) and the ISA version of the NCPD.</w:t>
            </w:r>
          </w:p>
          <w:p>
            <w:pPr>
              <w:spacing w:after="160"/>
            </w:pPr>
            <w:r>
              <w:rPr>
                <w:rStyle w:val="row-content-rich-text"/>
              </w:rPr>
              <w:t xml:space="preserve">In 2009−10 the MINC (Public Sector) ‘extent of harm’ categories were revised to better align with the NCPD data item 17 ‘severity of loss’ categories. As a consequence extent of harm data were reported for the first time in 2009–10.</w:t>
            </w:r>
          </w:p>
          <w:p>
            <w:pPr>
              <w:spacing w:after="160"/>
            </w:pPr>
            <w:r>
              <w:rPr>
                <w:rStyle w:val="row-content-rich-text"/>
              </w:rPr>
              <w:t xml:space="preserve">The public sector and private sector differ in how they deal with claims against multiple clinicians. In the public sector, in most cases a single claim record is created for each health-care incident or chain of health-care incidents, and (except for New South Wales) the involvement of multiple clinician specialties is recorded by recording up to three additional specialties as well as the principal specialty. For MIIs, it is a common practice to open more than one claim for a single health-care incident if more than one clinician was involved in the incident that gave rise to the allegation of harm or other loss. As a result, individual claim sizes will often be less than the aggregated total cost incurred by the MII(s) for a single allegation of harm or other loss. Thus the reported cost of an individual claim in the private sector may not reflect the total payment made by insurers in respect of the claimants. Also, where clinician specialty data are combined across the public and private sectors, the public sector claim record may include multiple clinician specialties, and so the total number of recorded clinician specialties will exceed the number of claims.</w:t>
            </w:r>
          </w:p>
          <w:p>
            <w:pPr/>
            <w:r>
              <w:rPr>
                <w:rStyle w:val="row-content-rich-text"/>
              </w:rPr>
              <w:t xml:space="preserve">In addition, clinician specialties in the private sector are recorded according to their specialty as registered with their insurer rather than with their employing or contracting health service provider (as in the public sector). This difference has led to a methodological decision to combine the </w:t>
            </w:r>
            <w:r>
              <w:rPr>
                <w:rStyle w:val="row-content-rich-text"/>
                <w:i/>
              </w:rPr>
              <w:t xml:space="preserve">Obstetrics, Gynaecology</w:t>
            </w:r>
            <w:r>
              <w:rPr>
                <w:rStyle w:val="row-content-rich-text"/>
              </w:rPr>
              <w:t xml:space="preserve"> and </w:t>
            </w:r>
            <w:r>
              <w:rPr>
                <w:rStyle w:val="row-content-rich-text"/>
                <w:i/>
              </w:rPr>
              <w:t xml:space="preserve">Obstetrics and gynaecology</w:t>
            </w:r>
            <w:r>
              <w:rPr>
                <w:rStyle w:val="row-content-rich-text"/>
              </w:rPr>
              <w:t xml:space="preserve"> categories, as well as the </w:t>
            </w:r>
            <w:r>
              <w:rPr>
                <w:rStyle w:val="row-content-rich-text"/>
                <w:i/>
              </w:rPr>
              <w:t xml:space="preserve">General practitioner—procedural</w:t>
            </w:r>
            <w:r>
              <w:rPr>
                <w:rStyle w:val="row-content-rich-text"/>
              </w:rPr>
              <w:t xml:space="preserve"> and </w:t>
            </w:r>
            <w:r>
              <w:rPr>
                <w:rStyle w:val="row-content-rich-text"/>
                <w:i/>
              </w:rPr>
              <w:t xml:space="preserve">General practitioner—non-procedural</w:t>
            </w:r>
            <w:r>
              <w:rPr>
                <w:rStyle w:val="row-content-rich-text"/>
              </w:rPr>
              <w:t xml:space="preserve"> categories, for combined sector reporting.</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2012. Australia’s medical indemnity claims 2010−11. Safety and quality of health care series no. 12. Cat. no. HSE 120.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690f976212d473d">
              <w:r>
                <w:rPr>
                  <w:rStyle w:val="Hyperlink"/>
                </w:rPr>
                <w:t xml:space="preserve">Medical Indemnity National Collection (Public Sector) 2010-11</w:t>
              </w:r>
            </w:hyperlink>
          </w:p>
          <w:p>
            <w:pPr>
              <w:spacing w:before="0" w:after="0"/>
            </w:pPr>
            <w:r>
              <w:rPr>
                <w:rStyle w:val="row-content"/>
                <w:color w:val="244061"/>
              </w:rPr>
              <w:t xml:space="preserve">       </w:t>
            </w:r>
            <w:hyperlink w:history="true" r:id="Rc1f2656522c84cd5">
              <w:r>
                <w:rPr>
                  <w:rStyle w:val="Hyperlink"/>
                  <w:color w:val="244061"/>
                </w:rPr>
                <w:t xml:space="preserve">AIHW Data Quality Statements</w:t>
              </w:r>
            </w:hyperlink>
            <w:r>
              <w:rPr>
                <w:rStyle w:val="row-content"/>
                <w:color w:val="244061"/>
              </w:rPr>
              <w:t xml:space="preserve">, Standard 18/05/2012</w:t>
            </w:r>
          </w:p>
          <w:p>
            <w:r>
              <w:br/>
            </w:r>
            <w:r>
              <w:rPr>
                <w:rStyle w:val="row-content"/>
              </w:rPr>
              <w:t xml:space="preserve">See also </w:t>
            </w:r>
            <w:hyperlink w:history="true" r:id="R7d971557f60e4f83">
              <w:r>
                <w:rPr>
                  <w:rStyle w:val="Hyperlink"/>
                </w:rPr>
                <w:t xml:space="preserve">Medical Indemnity National Collection (Public Sector) 2011-12</w:t>
              </w:r>
            </w:hyperlink>
          </w:p>
          <w:p>
            <w:pPr>
              <w:spacing w:before="0" w:after="0"/>
            </w:pPr>
            <w:r>
              <w:rPr>
                <w:rStyle w:val="row-content"/>
                <w:color w:val="244061"/>
              </w:rPr>
              <w:t xml:space="preserve">       </w:t>
            </w:r>
            <w:hyperlink w:history="true" r:id="R5d079fc4e4124718">
              <w:r>
                <w:rPr>
                  <w:rStyle w:val="Hyperlink"/>
                  <w:color w:val="244061"/>
                </w:rPr>
                <w:t xml:space="preserve">AIHW Data Quality Statements</w:t>
              </w:r>
            </w:hyperlink>
            <w:r>
              <w:rPr>
                <w:rStyle w:val="row-content"/>
                <w:color w:val="244061"/>
              </w:rPr>
              <w:t xml:space="preserve">, Standard 01/07/2013</w:t>
            </w:r>
          </w:p>
          <w:p>
            <w:r>
              <w:br/>
            </w:r>
          </w:p>
        </w:tc>
      </w:tr>
    </w:tbl>
    <w:p>
      <w:r>
        <w:br/>
      </w:r>
    </w:p>
    <w:sectPr>
      <w:footerReference xmlns:r="http://schemas.openxmlformats.org/officeDocument/2006/relationships" w:type="default" r:id="R28c642ddde154a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482050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74bf6ab95447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c642ddde154ad1" /><Relationship Type="http://schemas.openxmlformats.org/officeDocument/2006/relationships/header" Target="/word/header1.xml" Id="R42b1b78ce1af4863" /><Relationship Type="http://schemas.openxmlformats.org/officeDocument/2006/relationships/settings" Target="/word/settings.xml" Id="R269f61bfe8ab4f7f" /><Relationship Type="http://schemas.openxmlformats.org/officeDocument/2006/relationships/styles" Target="/word/styles.xml" Id="R96f556c6ab5d4cb3" /><Relationship Type="http://schemas.openxmlformats.org/officeDocument/2006/relationships/hyperlink" Target="https://meteor.aihw.gov.au/RegistrationAuthority/5" TargetMode="External" Id="R2d6c77fd58c94570" /><Relationship Type="http://schemas.openxmlformats.org/officeDocument/2006/relationships/numbering" Target="/word/numbering.xml" Id="R7d0f7b04e17b49ae" /><Relationship Type="http://schemas.openxmlformats.org/officeDocument/2006/relationships/hyperlink" Target="http://www.aihw.gov.au" TargetMode="External" Id="Rc572199a84a4488d" /><Relationship Type="http://schemas.openxmlformats.org/officeDocument/2006/relationships/hyperlink" Target="http://www.aihw.gov.au/publications/medical-indemnity/" TargetMode="External" Id="Rc8c8acded43c4420" /><Relationship Type="http://schemas.openxmlformats.org/officeDocument/2006/relationships/hyperlink" Target="https://meteor.aihw.gov.au/content/482047" TargetMode="External" Id="R7690f976212d473d" /><Relationship Type="http://schemas.openxmlformats.org/officeDocument/2006/relationships/hyperlink" Target="https://meteor.aihw.gov.au/RegistrationAuthority/5" TargetMode="External" Id="Rc1f2656522c84cd5" /><Relationship Type="http://schemas.openxmlformats.org/officeDocument/2006/relationships/hyperlink" Target="https://meteor.aihw.gov.au/content/528745" TargetMode="External" Id="R7d971557f60e4f83" /><Relationship Type="http://schemas.openxmlformats.org/officeDocument/2006/relationships/hyperlink" Target="https://meteor.aihw.gov.au/RegistrationAuthority/5" TargetMode="External" Id="R5d079fc4e4124718" /></Relationships>
</file>

<file path=word/_rels/header1.xml.rels>&#65279;<?xml version="1.0" encoding="utf-8"?><Relationships xmlns="http://schemas.openxmlformats.org/package/2006/relationships"><Relationship Type="http://schemas.openxmlformats.org/officeDocument/2006/relationships/image" Target="/media/image.png" Id="R6474bf6ab95447fc" /></Relationships>
</file>