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3cd092effc44d1" /></Relationships>
</file>

<file path=word/document.xml><?xml version="1.0" encoding="utf-8"?>
<w:document xmlns:r="http://schemas.openxmlformats.org/officeDocument/2006/relationships" xmlns:w="http://schemas.openxmlformats.org/wordprocessingml/2006/main">
  <w:body>
    <w:p>
      <w:pPr>
        <w:pStyle w:val="Title"/>
      </w:pPr>
      <w:r>
        <w:t>Person—prostate-specific antigen level, nanograms per millilitre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Person—prostate-specific antigen level, nanograms per millilitre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PSA test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d9881a8fb0455f">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t>
            </w:r>
            <w:hyperlink w:tooltip="A protein produced by cells of the prostate gland. Variations in prostate-specific antigen (PSA) can be an indicator for prostate cancer and a number of other benign conditions in males." w:history="true" r:id="Ra3a6d6c2661f4dcc">
              <w:r>
                <w:rPr>
                  <w:rStyle w:val="Hyperlink"/>
                  <w:b/>
                </w:rPr>
                <w:t xml:space="preserve">prostate-specific antigen</w:t>
              </w:r>
            </w:hyperlink>
            <w:r>
              <w:rPr>
                <w:rStyle w:val="row-content-rich-text"/>
              </w:rPr>
              <w:t xml:space="preserve"> (PSA) in a person's blood stream found by a PSA test measured in nanograms per millilitre (ng/mL), represented by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PSA level is an indicator for prostate cancer or a number of other benign conditions and is only applicable to 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b213f5b48d4476">
              <w:r>
                <w:rPr>
                  <w:rStyle w:val="Hyperlink"/>
                </w:rPr>
                <w:t xml:space="preserve">Person—prostate-specific antigen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b453adfae44d87">
              <w:r>
                <w:rPr>
                  <w:rStyle w:val="Hyperlink"/>
                </w:rPr>
                <w:t xml:space="preserve">Nanograms per millilitre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Quantity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Proposed 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ng/mL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level of PSA in a person's blood stream found by a PSA test in nanograms per millilitre (ng/mL).</w:t>
            </w:r>
          </w:p>
          <w:p>
            <w:pPr/>
            <w:r>
              <w:rPr>
                <w:rStyle w:val="row-content-rich-text"/>
              </w:rPr>
              <w:t xml:space="preserve">Collect this item in conjunction with </w:t>
            </w:r>
            <w:hyperlink w:history="true" r:id="R0798a52c28914e44">
              <w:r>
                <w:rPr>
                  <w:rStyle w:val="Hyperlink"/>
                </w:rPr>
                <w:t xml:space="preserve">PSA test date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 or pathology reports.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807e72d2c8540c5">
              <w:r>
                <w:rPr>
                  <w:rStyle w:val="Hyperlink"/>
                </w:rPr>
                <w:t xml:space="preserve">Person—prostate-specific antigen test date, DDMMYYYY</w:t>
              </w:r>
            </w:hyperlink>
          </w:p>
          <w:p>
            <w:pPr>
              <w:spacing w:before="0" w:after="0"/>
            </w:pPr>
            <w:r>
              <w:rPr>
                <w:rStyle w:val="row-content"/>
                <w:color w:val="244061"/>
              </w:rPr>
              <w:t xml:space="preserve">       </w:t>
            </w:r>
            <w:hyperlink w:history="true" r:id="R82226d02697e4b7e">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a09a39c1b74c5f">
              <w:r>
                <w:rPr>
                  <w:rStyle w:val="Hyperlink"/>
                </w:rPr>
                <w:t xml:space="preserve">Prostate cancer (clinical) NBPDS</w:t>
              </w:r>
            </w:hyperlink>
          </w:p>
          <w:p>
            <w:pPr>
              <w:spacing w:before="0" w:after="0"/>
            </w:pPr>
            <w:r>
              <w:rPr>
                <w:rStyle w:val="row-content"/>
                <w:color w:val="244061"/>
              </w:rPr>
              <w:t xml:space="preserve">       </w:t>
            </w:r>
            <w:hyperlink w:history="true" r:id="R7e693648b92e4ef7">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It is recommended that this item should be recorded at:</w:t>
            </w:r>
          </w:p>
          <w:p>
            <w:pPr>
              <w:pStyle w:val="ListParagraph"/>
              <w:numPr>
                <w:ilvl w:val="0"/>
                <w:numId w:val="2"/>
              </w:numPr>
            </w:pPr>
            <w:r>
              <w:rPr>
                <w:rStyle w:val="row-content"/>
              </w:rPr>
              <w:t xml:space="preserve">diagnosis</w:t>
            </w:r>
          </w:p>
          <w:p>
            <w:pPr>
              <w:pStyle w:val="ListParagraph"/>
              <w:numPr>
                <w:ilvl w:val="0"/>
                <w:numId w:val="2"/>
              </w:numPr>
            </w:pPr>
            <w:r>
              <w:rPr>
                <w:rStyle w:val="row-content"/>
              </w:rPr>
              <w:t xml:space="preserve">pre-treatment</w:t>
            </w:r>
          </w:p>
          <w:p>
            <w:pPr>
              <w:pStyle w:val="ListParagraph"/>
              <w:numPr>
                <w:ilvl w:val="0"/>
                <w:numId w:val="2"/>
              </w:numPr>
            </w:pPr>
            <w:r>
              <w:rPr>
                <w:rStyle w:val="row-content"/>
              </w:rPr>
              <w:t xml:space="preserve">post treatment</w:t>
            </w:r>
          </w:p>
          <w:p>
            <w:pPr>
              <w:pStyle w:val="ListParagraph"/>
              <w:numPr>
                <w:ilvl w:val="0"/>
                <w:numId w:val="2"/>
              </w:numPr>
            </w:pPr>
            <w:r>
              <w:rPr>
                <w:rStyle w:val="row-content"/>
              </w:rPr>
              <w:t xml:space="preserve">all subsequent follow-ups</w:t>
            </w:r>
          </w:p>
          <w:p>
            <w:r>
              <w:br/>
            </w:r>
            <w:r>
              <w:br/>
            </w:r>
          </w:p>
        </w:tc>
      </w:tr>
    </w:tbl>
    <w:p/>
    <w:tbl>
      <w:tblPr>
        <w:tblStyle w:val="TableGrid"/>
        <w:tblW w:w="0" w:type="auto"/>
      </w:tblPr>
    </w:tbl>
    <w:p>
      <w:r>
        <w:br/>
      </w:r>
    </w:p>
    <w:sectPr>
      <w:footerReference xmlns:r="http://schemas.openxmlformats.org/officeDocument/2006/relationships" w:type="default" r:id="R06503b0b171e42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481441</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9051d8c1d846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503b0b171e42a8" /><Relationship Type="http://schemas.openxmlformats.org/officeDocument/2006/relationships/header" Target="/word/header1.xml" Id="R06c87948784e4c85" /><Relationship Type="http://schemas.openxmlformats.org/officeDocument/2006/relationships/settings" Target="/word/settings.xml" Id="Rf94a9c5ad0b64e2a" /><Relationship Type="http://schemas.openxmlformats.org/officeDocument/2006/relationships/styles" Target="/word/styles.xml" Id="R15ffd9b77b6c45aa" /><Relationship Type="http://schemas.openxmlformats.org/officeDocument/2006/relationships/hyperlink" Target="https://meteor.aihw.gov.au/RegistrationAuthority/12" TargetMode="External" Id="R81d9881a8fb0455f" /><Relationship Type="http://schemas.openxmlformats.org/officeDocument/2006/relationships/hyperlink" Target="https://meteor.aihw.gov.au/content/598091" TargetMode="External" Id="Ra3a6d6c2661f4dcc" /><Relationship Type="http://schemas.openxmlformats.org/officeDocument/2006/relationships/hyperlink" Target="https://meteor.aihw.gov.au/content/481435" TargetMode="External" Id="R34b213f5b48d4476" /><Relationship Type="http://schemas.openxmlformats.org/officeDocument/2006/relationships/hyperlink" Target="https://meteor.aihw.gov.au/content/481446" TargetMode="External" Id="Rc6b453adfae44d87" /><Relationship Type="http://schemas.openxmlformats.org/officeDocument/2006/relationships/hyperlink" Target="https://meteor.aihw.gov.au/content/481437" TargetMode="External" Id="R0798a52c28914e44" /><Relationship Type="http://schemas.openxmlformats.org/officeDocument/2006/relationships/hyperlink" Target="https://meteor.aihw.gov.au/content/481437" TargetMode="External" Id="R3807e72d2c8540c5" /><Relationship Type="http://schemas.openxmlformats.org/officeDocument/2006/relationships/hyperlink" Target="https://meteor.aihw.gov.au/RegistrationAuthority/12" TargetMode="External" Id="R82226d02697e4b7e" /><Relationship Type="http://schemas.openxmlformats.org/officeDocument/2006/relationships/hyperlink" Target="https://meteor.aihw.gov.au/content/481386" TargetMode="External" Id="Refa09a39c1b74c5f" /><Relationship Type="http://schemas.openxmlformats.org/officeDocument/2006/relationships/hyperlink" Target="https://meteor.aihw.gov.au/RegistrationAuthority/12" TargetMode="External" Id="R7e693648b92e4ef7" /><Relationship Type="http://schemas.openxmlformats.org/officeDocument/2006/relationships/numbering" Target="/word/numbering.xml" Id="R4455dd06820b4958" /></Relationships>
</file>

<file path=word/_rels/header1.xml.rels>&#65279;<?xml version="1.0" encoding="utf-8"?><Relationships xmlns="http://schemas.openxmlformats.org/package/2006/relationships"><Relationship Type="http://schemas.openxmlformats.org/officeDocument/2006/relationships/image" Target="/media/image.png" Id="R3e9051d8c1d846b0" /></Relationships>
</file>