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4e0992e89041c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b2cfcbcfe406e">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2009.</w:t>
            </w:r>
          </w:p>
          <w:p>
            <w:pPr/>
            <w:r>
              <w:rPr>
                <w:rStyle w:val="row-content-rich-text"/>
              </w:rPr>
              <w:t xml:space="preserve">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w:t>
            </w:r>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w:t>
            </w:r>
            <w:r>
              <w:rPr>
                <w:rStyle w:val="row-content-rich-text"/>
                <w:i/>
              </w:rPr>
              <w:t xml:space="preserve"> Health Data Dictionary</w:t>
            </w:r>
            <w:r>
              <w:rPr>
                <w:rStyle w:val="row-content-rich-text"/>
              </w:rPr>
              <w:t xml:space="preserve">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Although the NPDC includes data elements of interest for this indicator, the Perinatal NMDS did not include antenatal care data items in 2009. Therefore, data are not available for all states and territories. Data reported on the number of women who gave birth who attended at least one antenatal visit in the first trimester are for New South Wales, South Australia and the Northern Territory only. Although data on gestation at first antenatal visit are also collected in the Australian Capital Territory and Victoria, they were not considered of sufficient quality to publish. Data reported on number of antenatal visits are for Queensland, South Australia and the Northern Territory.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Perinatal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2009 on the number of women who gave birth who attended at least one antenatal visit in the first trimester are for New South Wales, South Australia and the Northern Territory for the whole year, and for Queensland for the second half of the year only. Data reported for 2009 on number of antenatal visits are for Queensland, South Australia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(1.1 per cent), Queensland (3.5 per cent), and the Northern Territory (1.8 per cent) compared with South Australia (10.9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6cfc388c644e9a">
              <w:r>
                <w:rPr>
                  <w:rStyle w:val="Hyperlink"/>
                </w:rPr>
                <w:t xml:space="preserve">National Indigenous Reform Agreement: PI 09-Antenatal care, 2013 QS</w:t>
              </w:r>
            </w:hyperlink>
          </w:p>
          <w:p>
            <w:pPr>
              <w:pStyle w:val="registration-status"/>
              <w:spacing w:before="0" w:after="0"/>
            </w:pPr>
            <w:hyperlink w:history="true" r:id="Rcf04fef1bc094cbd">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5e8753d3c34e02">
              <w:r>
                <w:rPr>
                  <w:rStyle w:val="Hyperlink"/>
                </w:rPr>
                <w:t xml:space="preserve">National Indigenous Reform Agreement: PI 14-Antenatal care, 2012</w:t>
              </w:r>
            </w:hyperlink>
          </w:p>
          <w:p>
            <w:pPr>
              <w:pStyle w:val="registration-status"/>
              <w:spacing w:before="0" w:after="0"/>
            </w:pPr>
            <w:hyperlink w:history="true" r:id="R21aceb2fe4674c0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c2dd964fb8d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678d58d11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dd964fb8d4838" /><Relationship Type="http://schemas.openxmlformats.org/officeDocument/2006/relationships/header" Target="/word/header1.xml" Id="R6ff380322e734d50" /><Relationship Type="http://schemas.openxmlformats.org/officeDocument/2006/relationships/settings" Target="/word/settings.xml" Id="Rf5ab701af3104d7d" /><Relationship Type="http://schemas.openxmlformats.org/officeDocument/2006/relationships/styles" Target="/word/styles.xml" Id="R2acb527694e44b3e" /><Relationship Type="http://schemas.openxmlformats.org/officeDocument/2006/relationships/numbering" Target="/word/numbering.xml" Id="Ra191ef91ab6d4dca" /><Relationship Type="http://schemas.openxmlformats.org/officeDocument/2006/relationships/hyperlink" Target="https://meteor.aihw.gov.au/RegistrationAuthority/6" TargetMode="External" Id="R30db2cfcbcfe406e" /><Relationship Type="http://schemas.openxmlformats.org/officeDocument/2006/relationships/hyperlink" Target="https://meteor.aihw.gov.au/content/523334" TargetMode="External" Id="Raf6cfc388c644e9a" /><Relationship Type="http://schemas.openxmlformats.org/officeDocument/2006/relationships/hyperlink" Target="https://meteor.aihw.gov.au/RegistrationAuthority/6" TargetMode="External" Id="Rcf04fef1bc094cbd" /><Relationship Type="http://schemas.openxmlformats.org/officeDocument/2006/relationships/hyperlink" Target="https://meteor.aihw.gov.au/content/438513" TargetMode="External" Id="R565e8753d3c34e02" /><Relationship Type="http://schemas.openxmlformats.org/officeDocument/2006/relationships/hyperlink" Target="https://meteor.aihw.gov.au/RegistrationAuthority/6" TargetMode="External" Id="R21aceb2fe4674c00" /></Relationships>
</file>

<file path=word/_rels/header1.xml.rels>&#65279;<?xml version="1.0" encoding="utf-8"?><Relationships xmlns="http://schemas.openxmlformats.org/package/2006/relationships"><Relationship Type="http://schemas.openxmlformats.org/officeDocument/2006/relationships/image" Target="/media/image.png" Id="R5c9678d58d1144da" /></Relationships>
</file>