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5a4e09c18f4b9b" /></Relationships>
</file>

<file path=word/document.xml><?xml version="1.0" encoding="utf-8"?>
<w:document xmlns:r="http://schemas.openxmlformats.org/officeDocument/2006/relationships" xmlns:w="http://schemas.openxmlformats.org/wordprocessingml/2006/main">
  <w:body>
    <w:p>
      <w:pPr>
        <w:pStyle w:val="Title"/>
      </w:pPr>
      <w:r>
        <w:t>Australian Cancer Database 2008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2008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22698f9d54927">
              <w:r>
                <w:rPr>
                  <w:rStyle w:val="Hyperlink"/>
                  <w:color w:val="244061"/>
                </w:rPr>
                <w:t xml:space="preserve">AIHW Data Quality Statements</w:t>
              </w:r>
            </w:hyperlink>
            <w:r>
              <w:rPr>
                <w:rStyle w:val="row-content"/>
                <w:color w:val="244061"/>
              </w:rPr>
              <w:t xml:space="preserve">, Standard 20/07/2012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In order to avoid excessive repetition in what follows the word 'cancer' is used to mean 'cancer, excluding basal cell carcinomas of the skin and squamous cell carcinomas of the skin'. In most states and territories these two very common skin cancers are not notifiable diseases and as such are not in the scope of the Australian Cancer Database (ACD).</w:t>
            </w:r>
          </w:p>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cancer registry to which all cancer cases and deaths must be reported</w:t>
            </w:r>
          </w:p>
          <w:p>
            <w:pPr>
              <w:pStyle w:val="ListParagraph"/>
              <w:numPr>
                <w:ilvl w:val="0"/>
                <w:numId w:val="2"/>
              </w:numPr>
            </w:pPr>
            <w:r>
              <w:rPr>
                <w:rStyle w:val="row-content-rich-text"/>
              </w:rPr>
              <w:t xml:space="preserve">The AIHW compiles the Australian Cancer Database using information from state and territory registers</w:t>
            </w:r>
          </w:p>
          <w:p>
            <w:pPr>
              <w:pStyle w:val="ListParagraph"/>
              <w:numPr>
                <w:ilvl w:val="0"/>
                <w:numId w:val="2"/>
              </w:numPr>
            </w:pPr>
            <w:r>
              <w:rPr>
                <w:rStyle w:val="row-content-rich-text"/>
              </w:rPr>
              <w:t xml:space="preserve">Some duplication may occur where the same person and cancer have been registered in two or more jurisdictions. AIHW temporarily resolves these instances, but full resolution usually occurs with the following year’s release.</w:t>
            </w:r>
          </w:p>
          <w:p>
            <w:pPr>
              <w:pStyle w:val="ListParagraph"/>
              <w:numPr>
                <w:ilvl w:val="0"/>
                <w:numId w:val="2"/>
              </w:numPr>
            </w:pPr>
            <w:r>
              <w:rPr>
                <w:rStyle w:val="row-content-rich-text"/>
              </w:rPr>
              <w:t xml:space="preserve">The level of duplication is small, about 0.17% of all records</w:t>
            </w:r>
          </w:p>
          <w:p>
            <w:pPr>
              <w:pStyle w:val="ListParagraph"/>
              <w:numPr>
                <w:ilvl w:val="0"/>
                <w:numId w:val="2"/>
              </w:numPr>
            </w:pPr>
            <w:r>
              <w:rPr>
                <w:rStyle w:val="row-content-rich-text"/>
              </w:rPr>
              <w:t xml:space="preserve">Cancer registry databases change every day, adding new records and improving the quality of existing records as new information becomes available. Information on ACD records may therefore change from year to year.</w:t>
            </w:r>
          </w:p>
          <w:p>
            <w:pPr>
              <w:spacing w:after="160"/>
            </w:pPr>
            <w:r>
              <w:rPr>
                <w:rStyle w:val="row-content-rich-text"/>
                <w:b/>
              </w:rPr>
              <w:t xml:space="preserve">Description</w:t>
            </w:r>
          </w:p>
          <w:p>
            <w:pPr>
              <w:spacing w:after="160"/>
            </w:pPr>
            <w:r>
              <w:rPr>
                <w:rStyle w:val="row-content-rich-text"/>
              </w:rPr>
              <w:t xml:space="preserve">All states and territories have legislation that makes cancer a notifiable disease. All hospitals, pathology laboratories, radiotherapy centres and registries of births, deaths and marriages must report cancer cases and deaths to the state/territory population-based cancer registry.</w:t>
            </w:r>
          </w:p>
          <w:p>
            <w:pPr/>
            <w:r>
              <w:rPr>
                <w:rStyle w:val="row-content-rich-text"/>
              </w:rPr>
              <w:t xml:space="preserve">Each registry supplies incidence data annually to the AIHW under an agreement between the registries and the AIHW. These data are compiled into the only repository of national cancer incidence data—the Australian Cancer Database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7073bbf053a44ef">
              <w:r>
                <w:rPr>
                  <w:rStyle w:val="Hyperlink"/>
                </w:rPr>
                <w:t xml:space="preserve">www.aihw.gov.au</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present version of the ACD contains data on all cancer cases diagnosed between 1982 and 2008.</w:t>
            </w:r>
          </w:p>
          <w:p>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which can be downloaded free of charge. Numerous reports, including the biennial Cancer In Australia are published and are available on the AIHW website where they can be downloaded without charge. Users can request data not available online or in reports via the Cancer and Screening Unit Australian Institute of Health and Welfare on (02) 6244 1000 or via email to </w:t>
            </w:r>
            <w:hyperlink w:history="true" r:id="Rc2d6fba7bc844d43">
              <w:r>
                <w:rPr>
                  <w:rStyle w:val="Hyperlink"/>
                </w:rPr>
                <w:t xml:space="preserve">cancer@aihw.gov.au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4c7de37769d8476b">
              <w:r>
                <w:rPr>
                  <w:rStyle w:val="Hyperlink"/>
                </w:rPr>
                <w:t xml:space="preserve">info@aihw.gov.au</w:t>
              </w:r>
            </w:hyperlink>
            <w:r>
              <w:rPr>
                <w:rStyle w:val="row-content-rich-text"/>
              </w:rPr>
              <w:t xml:space="preserve">.</w:t>
            </w:r>
          </w:p>
          <w:p>
            <w:pPr/>
            <w:r>
              <w:rPr>
                <w:rStyle w:val="row-content-rich-text"/>
              </w:rPr>
              <w:t xml:space="preserve">Researchers who are following a cohort of people enrolled in a longitudinal study of health outcomes can request the AIHW to undertake data linkage of their cohort to the ACD. Such requests must be approved by the AIHW Ethics Committee as well as the ethics committees governing access to the state/territory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ACD is available on the AIHW website.</w:t>
            </w:r>
          </w:p>
          <w:p>
            <w:pPr/>
            <w:r>
              <w:rPr>
                <w:rStyle w:val="row-content-rich-text"/>
              </w:rPr>
              <w:t xml:space="preserve">While numbers of new cancers are easy to interpret, other statistical calculations (e.g. calculations of age-standardised rates and confidence intervals) are more complex and their concepts may be confusing to some users. In most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by policy-makers to evaluate health intervention programs and as background data for health labour force planning, health expenditure, etc.;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Data can be provided at State and Territory level and at Remoteness Area level.</w:t>
            </w:r>
          </w:p>
          <w:p>
            <w:pPr>
              <w:spacing w:after="160"/>
            </w:pPr>
            <w:r>
              <w:rPr>
                <w:rStyle w:val="row-content-rich-text"/>
              </w:rPr>
              <w:t xml:space="preserve">The 3rd edition of the International Classification of Diseases for Oncology (ICD-O-3) is used to classify cancer cases. Data can also be provided classified according to the 10th revision of the International Statistical Classification of Diseases and Related Health Problems (ICD-10).</w:t>
            </w:r>
            <w:r>
              <w:br/>
            </w:r>
            <w:r>
              <w:rPr>
                <w:rStyle w:val="row-content-rich-text"/>
              </w:rPr>
              <w:t xml:space="preserve">While all state and territory cancer registries collect information on Indigenous status, in some jurisdictions the level of identification of Indigenous Australians is not considered to be sufficient to enable analysis.</w:t>
            </w:r>
          </w:p>
          <w:p>
            <w:pPr/>
            <w:r>
              <w:rPr>
                <w:rStyle w:val="row-content-rich-text"/>
              </w:rPr>
              <w:t xml:space="preserve">The ACD also contains the name and date of birth of each person who has been diagnosed with cancer. This allows researchers who have enrolled people in a study to link their database to the ACD in order to find out which of their enrolees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Cancer incidence in five continents is issued approximately every five years as a collaborative effort by the International Agency for Research on Cancer (IARC) and the worldwide network of cancer registries. Australia’s cancer registries continue to pass IARC’s numerous tests for data quality. Details of the tests and Australia’s cancer registries’ results in them can be found in the above-mentioned book and appendices of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temporarily resolved at the AIHW by removing one record while the relevant jurisdictions are notified of the situation so that they can determine in which jurisdiction the person was a usual resident at the time of diagnosis. Their resolution will flow through to the ACD in the next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some jurisdictions the level of identification of Indigenous Australians is not considered to be sufficient to enable analysis. Data for four states and territories—New South Wales, Queensland, Western Australia and the Northern Territory—are considered suitable for analysis.</w:t>
            </w:r>
          </w:p>
          <w:p>
            <w:pPr/>
            <w:r>
              <w:rPr>
                <w:rStyle w:val="row-content-rich-text"/>
              </w:rPr>
              <w:t xml:space="preserve">Cancer registry databases change every day, and not just because new records are added. Existing records are changed if new, more precise, information about the diagnosis becomes available. Also, any typographical errors that are discovered by routine data checking procedures are corrected by referring to the source documentation. Finally, existing records can be deleted if it is discovered that the initial diagnosis of cancer was incorrect, e.g. the tumour was in fact benign, or the person is found to be not a resident of that state/territory. As a result of all these issues, the number of cancer cases reported by AIHW for any particular year may change slightly over time, and data published by a cancer registry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data are reported and published annually by the AIHW. 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a3bf9ff04de4360">
              <w:r>
                <w:rPr>
                  <w:rStyle w:val="Hyperlink"/>
                </w:rPr>
                <w:t xml:space="preserve">Australian Cancer Database 2007 Data Quality Statement</w:t>
              </w:r>
            </w:hyperlink>
          </w:p>
          <w:p>
            <w:pPr>
              <w:spacing w:before="0" w:after="0"/>
            </w:pPr>
            <w:r>
              <w:rPr>
                <w:rStyle w:val="row-content"/>
                <w:color w:val="244061"/>
              </w:rPr>
              <w:t xml:space="preserve">       </w:t>
            </w:r>
            <w:hyperlink w:history="true" r:id="R2c43ebef1d0b4fcd">
              <w:r>
                <w:rPr>
                  <w:rStyle w:val="Hyperlink"/>
                  <w:color w:val="244061"/>
                </w:rPr>
                <w:t xml:space="preserve">AIHW Data Quality Statements</w:t>
              </w:r>
            </w:hyperlink>
            <w:r>
              <w:rPr>
                <w:rStyle w:val="row-content"/>
                <w:color w:val="244061"/>
              </w:rPr>
              <w:t xml:space="preserve">, Standard 11/06/2014</w:t>
            </w:r>
          </w:p>
          <w:p>
            <w:r>
              <w:br/>
            </w:r>
            <w:r>
              <w:rPr>
                <w:rStyle w:val="row-content"/>
              </w:rPr>
              <w:t xml:space="preserve">See also </w:t>
            </w:r>
            <w:hyperlink w:history="true" r:id="R88f8566447144ed2">
              <w:r>
                <w:rPr>
                  <w:rStyle w:val="Hyperlink"/>
                </w:rPr>
                <w:t xml:space="preserve">Australian Cancer Database 2009 Data Quality Statement</w:t>
              </w:r>
            </w:hyperlink>
          </w:p>
          <w:p>
            <w:pPr>
              <w:spacing w:before="0" w:after="0"/>
            </w:pPr>
            <w:r>
              <w:rPr>
                <w:rStyle w:val="row-content"/>
                <w:color w:val="244061"/>
              </w:rPr>
              <w:t xml:space="preserve">       </w:t>
            </w:r>
            <w:hyperlink w:history="true" r:id="Raa654716ac354d58">
              <w:r>
                <w:rPr>
                  <w:rStyle w:val="Hyperlink"/>
                  <w:color w:val="244061"/>
                </w:rPr>
                <w:t xml:space="preserve">AIHW Data Quality Statements</w:t>
              </w:r>
            </w:hyperlink>
            <w:r>
              <w:rPr>
                <w:rStyle w:val="row-content"/>
                <w:color w:val="244061"/>
              </w:rPr>
              <w:t xml:space="preserve">, Standard 11/12/2012</w:t>
            </w:r>
          </w:p>
          <w:p>
            <w:r>
              <w:br/>
            </w:r>
          </w:p>
        </w:tc>
      </w:tr>
    </w:tbl>
    <w:p>
      <w:r>
        <w:br/>
      </w:r>
    </w:p>
    <w:sectPr>
      <w:footerReference xmlns:r="http://schemas.openxmlformats.org/officeDocument/2006/relationships" w:type="default" r:id="R3b456a1cf7a3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4bcdfb29c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56a1cf7a34039" /><Relationship Type="http://schemas.openxmlformats.org/officeDocument/2006/relationships/header" Target="/word/header1.xml" Id="Reaad87233e474959" /><Relationship Type="http://schemas.openxmlformats.org/officeDocument/2006/relationships/settings" Target="/word/settings.xml" Id="Rb277d2f468ca490a" /><Relationship Type="http://schemas.openxmlformats.org/officeDocument/2006/relationships/styles" Target="/word/styles.xml" Id="Ra6c4d637d2044135" /><Relationship Type="http://schemas.openxmlformats.org/officeDocument/2006/relationships/hyperlink" Target="https://meteor.aihw.gov.au/RegistrationAuthority/5" TargetMode="External" Id="Rff122698f9d54927" /><Relationship Type="http://schemas.openxmlformats.org/officeDocument/2006/relationships/numbering" Target="/word/numbering.xml" Id="R1521b02bc1744bc0" /><Relationship Type="http://schemas.openxmlformats.org/officeDocument/2006/relationships/hyperlink" Target="http://www.aihw.gov.au/" TargetMode="External" Id="Rf7073bbf053a44ef" /><Relationship Type="http://schemas.openxmlformats.org/officeDocument/2006/relationships/hyperlink" Target="mailto:cancer@aihw.gov.au" TargetMode="External" Id="Rc2d6fba7bc844d43" /><Relationship Type="http://schemas.openxmlformats.org/officeDocument/2006/relationships/hyperlink" Target="mailto:info@aihw.gov.au" TargetMode="External" Id="R4c7de37769d8476b" /><Relationship Type="http://schemas.openxmlformats.org/officeDocument/2006/relationships/hyperlink" Target="https://meteor.aihw.gov.au/content/578438" TargetMode="External" Id="R1a3bf9ff04de4360" /><Relationship Type="http://schemas.openxmlformats.org/officeDocument/2006/relationships/hyperlink" Target="https://meteor.aihw.gov.au/RegistrationAuthority/5" TargetMode="External" Id="R2c43ebef1d0b4fcd" /><Relationship Type="http://schemas.openxmlformats.org/officeDocument/2006/relationships/hyperlink" Target="https://meteor.aihw.gov.au/content/500417" TargetMode="External" Id="R88f8566447144ed2" /><Relationship Type="http://schemas.openxmlformats.org/officeDocument/2006/relationships/hyperlink" Target="https://meteor.aihw.gov.au/RegistrationAuthority/5" TargetMode="External" Id="Raa654716ac354d58" /></Relationships>
</file>

<file path=word/_rels/header1.xml.rels>&#65279;<?xml version="1.0" encoding="utf-8"?><Relationships xmlns="http://schemas.openxmlformats.org/package/2006/relationships"><Relationship Type="http://schemas.openxmlformats.org/officeDocument/2006/relationships/image" Target="/media/image.png" Id="Rbae4bcdfb29c4b5d" /></Relationships>
</file>