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a60fdc26ca4b8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03-Hospitalisation rates by principal diagnosis,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03-Hospitalisation rates by principal diagnosis,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cd2dd92d64f9b">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8e5a4a69d85b4b1e">
              <w:r>
                <w:rPr>
                  <w:rStyle w:val="Hyperlink"/>
                </w:rPr>
                <w:t xml:space="preserve">www.aihw.gov.au/WorkArea/DownloadAsset.aspx?id=6442472807&amp;libID</w:t>
              </w:r>
            </w:hyperlink>
            <w:r>
              <w:rPr>
                <w:rStyle w:val="row-content-rich-text"/>
              </w:rPr>
              <w:t xml:space="preserve">=</w:t>
            </w:r>
            <w:r>
              <w:br/>
            </w:r>
            <w:r>
              <w:rPr>
                <w:rStyle w:val="row-content-rich-text"/>
              </w:rPr>
              <w:t xml:space="preserve">6442472788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2008-09 to 2009-10. Single year data for 2009-10 are also reported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 Published products available on the AIHW website are:</w:t>
            </w:r>
          </w:p>
          <w:p>
            <w:pPr>
              <w:pStyle w:val="ListParagraph"/>
              <w:numPr>
                <w:ilvl w:val="0"/>
                <w:numId w:val="2"/>
              </w:numPr>
            </w:pPr>
            <w:r>
              <w:rPr>
                <w:rStyle w:val="row-content-rich-text"/>
              </w:rPr>
              <w:t xml:space="preserve">Australian hospital statistics with associated Excel tables.</w:t>
            </w:r>
          </w:p>
          <w:p>
            <w:pPr>
              <w:pStyle w:val="ListParagraph"/>
              <w:numPr>
                <w:ilvl w:val="0"/>
                <w:numId w:val="2"/>
              </w:numPr>
            </w:pPr>
            <w:r>
              <w:rPr>
                <w:rStyle w:val="row-content-rich-text"/>
              </w:rPr>
              <w:t xml:space="preserve">On-line interactive data cubes for Admitted patient care (for Principal diagnoses, Procedures and Diagnosis Related Groups). </w:t>
            </w:r>
          </w:p>
          <w:p>
            <w:pPr/>
            <w:r>
              <w:rPr>
                <w:rStyle w:val="row-content-rich-text"/>
              </w:rPr>
              <w:t xml:space="preserve">Data for this indicator are published biennially in the Aboriginal and Torres Strait Islander Health Performance Framework detailed analyses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Admitted Patient Care NMDS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w:t>
            </w:r>
          </w:p>
          <w:p>
            <w:pPr>
              <w:spacing w:after="160"/>
            </w:pPr>
            <w:r>
              <w:rPr>
                <w:rStyle w:val="row-content-rich-text"/>
              </w:rPr>
              <w:t xml:space="preserve">Metadata information for this indicator are published in the AIHW’s online metadata repository — METeOR. Metadata information for the NMDS for Admitted patient care are also published in METeOR, and the National health data dictionary.</w:t>
            </w:r>
          </w:p>
          <w:p>
            <w:pPr>
              <w:spacing w:after="160"/>
            </w:pPr>
            <w:r>
              <w:rPr>
                <w:rStyle w:val="row-content-rich-text"/>
              </w:rPr>
              <w:t xml:space="preserve">Information on ABS data is available on the ABS website.</w:t>
            </w:r>
          </w:p>
          <w:p>
            <w:pPr/>
            <w:r>
              <w:rPr>
                <w:rStyle w:val="row-content-rich-text"/>
              </w:rPr>
              <w:t xml:space="preserve">Principal diagnoses reported for this indicator were classified, coded and reported to the National Hospital Morbidity Database (NHMD) using the sixth edition of the International statistical classification of diseases and related health problems, 10th revision, Australian modification (ICD-10-AM) (NCCH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 Separations with care types of Newborn episodes that did not include qualified days, and records for Hospital boarders and Posthumous organ procurement have been excluded as these activities are not considered to be admitted patient care. Separations in private hospitals in Tasmania, the ACT and the Northern Territory have also been excluded from analyses for data quality and confidentiality reasons. Separations per person for Tasmania, the ACT and the Northern Territory are therefore lower than would otherwise be the case and should not be directly compared with other jurisdictions. Furthermore, because Indigenous persons typically have higher separation rates in public hospitals, the rate ratios in Tas/ACT/NT that compare Indigenous persons with other persons may be higher than would otherwise be the case.</w:t>
            </w:r>
          </w:p>
          <w:p>
            <w:pPr>
              <w:spacing w:after="160"/>
            </w:pPr>
            <w:r>
              <w:rPr>
                <w:rStyle w:val="row-content-rich-text"/>
              </w:rPr>
              <w:t xml:space="preserve">Data are a count of hospital separations (episodes of admitted patient care, which can be a total hospital stay or a portion of a hospital stay beginning or ending in a change of type of care) and not patients. Patients who separated from hospital more than once in the year will be counted more than once in the data set.</w:t>
            </w:r>
          </w:p>
          <w:p>
            <w:pPr>
              <w:spacing w:after="160"/>
            </w:pPr>
            <w:r>
              <w:rPr>
                <w:rStyle w:val="row-content-rich-text"/>
              </w:rPr>
              <w:t xml:space="preserve">While the NHMD is appropriate for the information being gathered and provides all relevant data elements of interest for this indicator, identification of Indigenous separations in the NHMD is not complete and varies by State/Territory. Therefore jurisdictional comparisons of Indigenous separation rates should not be made for this indicator. Data are analysed by State/Territory of usual residence of the patient.</w:t>
            </w:r>
          </w:p>
          <w:p>
            <w:pPr>
              <w:spacing w:after="160"/>
            </w:pPr>
            <w:r>
              <w:rPr>
                <w:rStyle w:val="row-content-rich-text"/>
              </w:rPr>
              <w:t xml:space="preserve">The numerator and denominator for the calculation of rates for this indicator come from different sources (numerator from the NHMD and denominator from ABS population data). While population data are adjusted for undercount and missing responses to the Indigenous status question, data from the NHMD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Hospital separations with a ‘not stated/inadequately described’ Indigenous status have been combined with hospital separations for ‘non-Indigenous Australians’ and have been reported under the category ‘Other Australians’. This is because data systems of certain jurisdictions do not accommodate a category for ‘not stated/inadequately described’ and an assessment of patient characteristics indicates that separations with this category of Indigenous status show greater similarities with the non-Indigenous category than with the Indigenous category for most patient characteristics examined (AIHW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ACT and about 2,400 separations for one public hospital in WA.</w:t>
            </w:r>
          </w:p>
          <w:p>
            <w:pPr>
              <w:spacing w:after="160"/>
            </w:pPr>
            <w:r>
              <w:rPr>
                <w:rStyle w:val="row-content-rich-text"/>
              </w:rPr>
              <w:t xml:space="preserve">The majority of private hospitals provided data, with the exception of the private day hospital facilities in ACT and NT. In addition, WA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For Admitted patient data, Indigenous status is of sufficient quality for statistical reporting purposes for the following jurisdictions: NSW, Vic, Qld, SA, WA, NT (public hospitals only). National totals include separations for people resident in these six jurisdictions only and are not necessarily representative of the jurisdictions not included. Indigenous status data are reported for Tas and ACT (public hospitals only) with caveats until further audits of the quality of data in these jurisdictions are completed.</w:t>
            </w:r>
          </w:p>
          <w:p>
            <w:pPr>
              <w:spacing w:after="160"/>
            </w:pPr>
            <w:r>
              <w:rPr>
                <w:rStyle w:val="row-content-rich-text"/>
              </w:rPr>
              <w:t xml:space="preserve">For the current reporting period, two years of data have been combined. For time series, single year data are reported. Caution should be exercised in time series analysis, due to the possible contribution of changes in ascertainment of Indigenous status for Indigenous patients to changes in hospitalisation rates for Indigenous people over time.</w:t>
            </w:r>
          </w:p>
          <w:p>
            <w:pPr>
              <w:spacing w:after="160"/>
            </w:pPr>
            <w:r>
              <w:rPr>
                <w:rStyle w:val="row-content-rich-text"/>
              </w:rPr>
              <w:t xml:space="preserve">Approximately 2 per cent of hospital records in the six jurisdictions had missing Indigenous status information. No adjustments have been made for missing Indigenous status information.</w:t>
            </w:r>
          </w:p>
          <w:p>
            <w:pPr/>
            <w:r>
              <w:rPr>
                <w:rStyle w:val="row-content-rich-text"/>
              </w:rPr>
              <w:t xml:space="preserve">The Estimated Resident Population and Indigenous Experimental Estimates and Projections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are calculated using the same methodology as data published in Australian hospital statistics 2009-10, National Indigenous Reform Agreement: performance report 2009-10, and the Aboriginal and Torres Strait Islander Health Performance Framework detailed analyses report 2010.</w:t>
            </w:r>
          </w:p>
          <w:p>
            <w:pPr/>
            <w:r>
              <w:rPr>
                <w:rStyle w:val="row-content-rich-text"/>
              </w:rPr>
              <w:t xml:space="preserve">Data for this indicator can be meaningfully compared across reference periods. No changes have been made to the data elements for this indicator over reporting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681447d0c44374">
              <w:r>
                <w:rPr>
                  <w:rStyle w:val="Hyperlink"/>
                </w:rPr>
                <w:t xml:space="preserve">National Indigenous Reform Agreement: PI 03-Hospitalisation rates by principal diagnosis, 2012</w:t>
              </w:r>
            </w:hyperlink>
          </w:p>
          <w:p>
            <w:pPr>
              <w:pStyle w:val="registration-status"/>
              <w:spacing w:before="0" w:after="0"/>
            </w:pPr>
            <w:hyperlink w:history="true" r:id="R0d51cd84ea164f02">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2efd5477187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8549ba62b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fd54771874278" /><Relationship Type="http://schemas.openxmlformats.org/officeDocument/2006/relationships/header" Target="/word/header1.xml" Id="R498d5b15678545bf" /><Relationship Type="http://schemas.openxmlformats.org/officeDocument/2006/relationships/settings" Target="/word/settings.xml" Id="R229a2620673b4f36" /><Relationship Type="http://schemas.openxmlformats.org/officeDocument/2006/relationships/styles" Target="/word/styles.xml" Id="Rcefa9578b7e04078" /><Relationship Type="http://schemas.openxmlformats.org/officeDocument/2006/relationships/hyperlink" Target="http://www.aihw.gov.au/WorkArea/DownloadAsset.aspx?id=6442472807&amp;amp;libID=6442472788" TargetMode="External" Id="Rdc417eff9f9f42bf" /><Relationship Type="http://schemas.openxmlformats.org/officeDocument/2006/relationships/numbering" Target="/word/numbering.xml" Id="R0bee3946a8fc44cd" /><Relationship Type="http://schemas.openxmlformats.org/officeDocument/2006/relationships/hyperlink" Target="https://meteor.aihw.gov.au/RegistrationAuthority/6" TargetMode="External" Id="Rcfdcd2dd92d64f9b" /><Relationship Type="http://schemas.openxmlformats.org/officeDocument/2006/relationships/hyperlink" Target="http://www.aihw.gov.au/WorkArea/DownloadAsset.aspx?id=6442472807&amp;libID" TargetMode="External" Id="R8e5a4a69d85b4b1e" /><Relationship Type="http://schemas.openxmlformats.org/officeDocument/2006/relationships/hyperlink" Target="https://meteor.aihw.gov.au/content/438499" TargetMode="External" Id="R12681447d0c44374" /><Relationship Type="http://schemas.openxmlformats.org/officeDocument/2006/relationships/hyperlink" Target="https://meteor.aihw.gov.au/RegistrationAuthority/6" TargetMode="External" Id="R0d51cd84ea164f02" /></Relationships>
</file>

<file path=word/_rels/header1.xml.rels>&#65279;<?xml version="1.0" encoding="utf-8"?><Relationships xmlns="http://schemas.openxmlformats.org/package/2006/relationships"><Relationship Type="http://schemas.openxmlformats.org/officeDocument/2006/relationships/image" Target="/media/image.png" Id="R5128549ba62b431b" /></Relationships>
</file>