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e4b54a9d0467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(and excess deaths) by leading causes,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(and excess deaths) by leading causes,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a6fe8471941ec">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ERP data is compiled and published quarterly and is generally made available five to six months after the end of the reference quarter. Every year, the 30 June ERP is further disaggregated by sex and single year of age, and is made available five to six months after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3201.0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w:t>
            </w:r>
            <w:r>
              <w:rPr>
                <w:rStyle w:val="row-content-rich-text"/>
                <w:i/>
              </w:rPr>
              <w:t xml:space="preserve">Explanatory Notes </w:t>
            </w:r>
            <w:r>
              <w:rPr>
                <w:rStyle w:val="row-content-rich-text"/>
              </w:rPr>
              <w:t xml:space="preserve">in</w:t>
            </w:r>
            <w:r>
              <w:rPr>
                <w:rStyle w:val="row-content-rich-text"/>
                <w:i/>
              </w:rPr>
              <w:t xml:space="preserve"> 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and Deaths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 do not include death registrations with a 'not stated' Indigenous status.</w:t>
            </w:r>
          </w:p>
          <w:p>
            <w:pPr>
              <w:spacing w:after="160"/>
            </w:pPr>
            <w:r>
              <w:rPr>
                <w:rStyle w:val="row-content-rich-text"/>
              </w:rPr>
              <w:t xml:space="preserve">All coroner certified deaths registered after 1 January 2007 will be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Due to potential over-reporting of WA Indigenous deaths for 2007, 2008 and 2009, WA mortality data for these years (including aggregates of years and jurisdictions) are not included in this report. However, WA all-cause mortality rates for 2006 and 2010 can be compared, and have been included for information. The WA Registry of Births, Deaths and Marriages and the ABS are investigating the quality of Indigenous status recording in WA deaths data, with an update on progress anticipated in early 2012.</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5b40f12cff45f8">
              <w:r>
                <w:rPr>
                  <w:rStyle w:val="Hyperlink"/>
                </w:rPr>
                <w:t xml:space="preserve">National Indigenous Reform Agreement: PI 02-Mortality rate by leading causes, 2013 QS </w:t>
              </w:r>
            </w:hyperlink>
          </w:p>
          <w:p>
            <w:pPr>
              <w:pStyle w:val="registration-status"/>
              <w:spacing w:before="0" w:after="0"/>
            </w:pPr>
            <w:hyperlink w:history="true" r:id="Rea1ef3aeccdc4fd4">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325d24210ad4664">
              <w:r>
                <w:rPr>
                  <w:rStyle w:val="Hyperlink"/>
                </w:rPr>
                <w:t xml:space="preserve">National Indigenous Reform Agreement: PI 02-Mortality rate (and excess deaths) by leading causes, 2012</w:t>
              </w:r>
            </w:hyperlink>
          </w:p>
          <w:p>
            <w:pPr>
              <w:pStyle w:val="registration-status"/>
              <w:spacing w:before="0" w:after="0"/>
            </w:pPr>
            <w:hyperlink w:history="true" r:id="R5380b76bfb16493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6e9591e2cce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abf955c77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9591e2cce41a9" /><Relationship Type="http://schemas.openxmlformats.org/officeDocument/2006/relationships/header" Target="/word/header1.xml" Id="Ra6da8c72d8124f48" /><Relationship Type="http://schemas.openxmlformats.org/officeDocument/2006/relationships/settings" Target="/word/settings.xml" Id="Rc34db710d4b7403d" /><Relationship Type="http://schemas.openxmlformats.org/officeDocument/2006/relationships/styles" Target="/word/styles.xml" Id="R366ab535374849c1" /><Relationship Type="http://schemas.openxmlformats.org/officeDocument/2006/relationships/hyperlink" Target="https://meteor.aihw.gov.au/RegistrationAuthority/6" TargetMode="External" Id="R39ca6fe8471941ec" /><Relationship Type="http://schemas.openxmlformats.org/officeDocument/2006/relationships/hyperlink" Target="https://meteor.aihw.gov.au/content/523088" TargetMode="External" Id="Rb25b40f12cff45f8" /><Relationship Type="http://schemas.openxmlformats.org/officeDocument/2006/relationships/hyperlink" Target="https://meteor.aihw.gov.au/RegistrationAuthority/6" TargetMode="External" Id="Rea1ef3aeccdc4fd4" /><Relationship Type="http://schemas.openxmlformats.org/officeDocument/2006/relationships/hyperlink" Target="https://meteor.aihw.gov.au/content/438560" TargetMode="External" Id="R8325d24210ad4664" /><Relationship Type="http://schemas.openxmlformats.org/officeDocument/2006/relationships/hyperlink" Target="https://meteor.aihw.gov.au/RegistrationAuthority/6" TargetMode="External" Id="R5380b76bfb164931" /></Relationships>
</file>

<file path=word/_rels/header1.xml.rels>&#65279;<?xml version="1.0" encoding="utf-8"?><Relationships xmlns="http://schemas.openxmlformats.org/package/2006/relationships"><Relationship Type="http://schemas.openxmlformats.org/officeDocument/2006/relationships/image" Target="/media/image.png" Id="R211abf955c7744b7" /></Relationships>
</file>