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a98878f776445d"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6fe2ad67d4bc0">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60e7f42ae8f4bd6">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ae210873f04e476a">
              <w:r>
                <w:rPr>
                  <w:rStyle w:val="Hyperlink"/>
                  <w:b/>
                </w:rPr>
                <w:t xml:space="preserve">Tenancy rental unit</w:t>
              </w:r>
            </w:hyperlink>
            <w:r>
              <w:rPr>
                <w:rStyle w:val="row-content-rich-text"/>
              </w:rPr>
              <w:t xml:space="preserve"> and </w:t>
            </w:r>
          </w:p>
          <w:p>
            <w:hyperlink w:history="true" r:id="Rdd3ec11526a84fa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a03f74d7344192">
              <w:r>
                <w:rPr>
                  <w:rStyle w:val="Hyperlink"/>
                </w:rPr>
                <w:t xml:space="preserve">Service provider organisation cluster (Mainstream community housing)</w:t>
              </w:r>
            </w:hyperlink>
          </w:p>
          <w:p>
            <w:pPr>
              <w:pStyle w:val="registration-status"/>
              <w:spacing w:before="0" w:after="0"/>
            </w:pPr>
            <w:hyperlink w:history="true" r:id="R67a7503a7181436b">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1452bb7f954627">
              <w:r>
                <w:rPr>
                  <w:rStyle w:val="Hyperlink"/>
                </w:rPr>
                <w:t xml:space="preserve">Mainstream community housing 2010-11 </w:t>
              </w:r>
            </w:hyperlink>
          </w:p>
          <w:p>
            <w:pPr>
              <w:pStyle w:val="registration-status"/>
              <w:spacing w:before="0" w:after="0"/>
            </w:pPr>
            <w:hyperlink w:history="true" r:id="R933d53929e3c4e7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e90c70c504cbf">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c3851082f34c16">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6456f151446c5">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a1fc7bc3204542">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2"/>
                    </w:numPr>
                  </w:pPr>
                  <w:r>
                    <w:t xml:space="preserve">on its own to ascertain the total number of people on the waiting list</w:t>
                  </w:r>
                </w:p>
                <w:p>
                  <w:pPr>
                    <w:pStyle w:val="ListParagraph"/>
                    <w:numPr>
                      <w:ilvl w:val="0"/>
                      <w:numId w:val="2"/>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cec700c8140f3">
                    <w:r>
                      <w:rPr>
                        <w:rStyle w:val="Hyperlink"/>
                      </w:rPr>
                      <w:t xml:space="preserve">Service provider organisation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e2b8d7e74e49d7">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d3ab9c10604833">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d4da57f7394053">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8cedd9afd44991">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3f7751958842ef">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f4e39f4b66640dd">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397f259e7974ca7">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537f5cc1edc244e3">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31122e514af490a">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d9b51de17b2344bd">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46e47aaa614d4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5e2517aa74505">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d6fba99f664c01">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da295d84e948ef">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d0e4c969046b1">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1866258f54b60">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41d30aa3b4f40">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af90124b34473">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e0be2b910246eb">
                    <w:r>
                      <w:rPr>
                        <w:rStyle w:val="Hyperlink"/>
                      </w:rPr>
                      <w:t xml:space="preserve">Service provider organisation—number of head leased dwellings, total number N[NNN]</w:t>
                    </w:r>
                  </w:hyperlink>
                </w:p>
                <w:p>
                  <w:r>
                    <w:rPr>
                      <w:b/>
                      <w:i/>
                      <w:color w:val="333333"/>
                    </w:rPr>
                    <w:t xml:space="preserve">DSS specific information:</w:t>
                  </w:r>
                </w:p>
                <w:p>
                  <w: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a848f7fe9413d">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03da8ce2f4c8d">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ad121b1ab42ca">
                    <w:r>
                      <w:rPr>
                        <w:rStyle w:val="Hyperlink"/>
                      </w:rPr>
                      <w:t xml:space="preserve">Service provider organisation—survey response indicator, yes/no code N</w:t>
                    </w:r>
                  </w:hyperlink>
                </w:p>
                <w:p>
                  <w:r>
                    <w:rPr>
                      <w:b/>
                      <w:i/>
                      <w:color w:val="333333"/>
                    </w:rPr>
                    <w:t xml:space="preserve">DSS specific information:</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all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9e2b03b41e4dbe">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e9995711c4a21">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365f3d9bd0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480121</w:t>
    </w:r>
    <w:r>
      <w:ptab w:alignment="right" w:relativeTo="margin" w:leader="none"/>
    </w:r>
    <w:r>
      <w:t xml:space="preserve">Page </w:t>
    </w:r>
    <w:fldSimple w:instr="PAGE"/>
    <w:r>
      <w:t xml:space="preserve"> of </w:t>
    </w:r>
    <w:fldSimple w:instr="NUMPAGES"/>
    <w:r>
      <w:ptab w:alignment="left" w:relativeTo="margin" w:leader="none"/>
    </w:r>
    <w:r>
      <w:t>Downloaded 04-Jul-2024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268592341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65f3d9bd04908" /><Relationship Type="http://schemas.openxmlformats.org/officeDocument/2006/relationships/header" Target="/word/header1.xml" Id="R72b3bb93123e49ed" /><Relationship Type="http://schemas.openxmlformats.org/officeDocument/2006/relationships/settings" Target="/word/settings.xml" Id="R557767045a354ec9" /><Relationship Type="http://schemas.openxmlformats.org/officeDocument/2006/relationships/styles" Target="/word/styles.xml" Id="R1d3d7c12c889484d" /><Relationship Type="http://schemas.openxmlformats.org/officeDocument/2006/relationships/numbering" Target="/word/numbering.xml" Id="R913d8b88ef714ce9" /><Relationship Type="http://schemas.openxmlformats.org/officeDocument/2006/relationships/hyperlink" Target="https://meteor.aihw.gov.au/RegistrationAuthority/11" TargetMode="External" Id="R0e86fe2ad67d4bc0" /><Relationship Type="http://schemas.openxmlformats.org/officeDocument/2006/relationships/hyperlink" Target="https://meteor.aihw.gov.au/content/268982" TargetMode="External" Id="R860e7f42ae8f4bd6" /><Relationship Type="http://schemas.openxmlformats.org/officeDocument/2006/relationships/hyperlink" Target="https://meteor.aihw.gov.au/content/464221" TargetMode="External" Id="Rae210873f04e476a" /><Relationship Type="http://schemas.openxmlformats.org/officeDocument/2006/relationships/hyperlink" Target="https://meteor.aihw.gov.au/content/268977" TargetMode="External" Id="Rdd3ec11526a84fab" /><Relationship Type="http://schemas.openxmlformats.org/officeDocument/2006/relationships/hyperlink" Target="https://meteor.aihw.gov.au/content/463101" TargetMode="External" Id="R33a03f74d7344192" /><Relationship Type="http://schemas.openxmlformats.org/officeDocument/2006/relationships/hyperlink" Target="https://meteor.aihw.gov.au/RegistrationAuthority/11" TargetMode="External" Id="R67a7503a7181436b" /><Relationship Type="http://schemas.openxmlformats.org/officeDocument/2006/relationships/hyperlink" Target="https://meteor.aihw.gov.au/content/480119" TargetMode="External" Id="R6f1452bb7f954627" /><Relationship Type="http://schemas.openxmlformats.org/officeDocument/2006/relationships/hyperlink" Target="https://meteor.aihw.gov.au/RegistrationAuthority/11" TargetMode="External" Id="R933d53929e3c4e7d" /><Relationship Type="http://schemas.openxmlformats.org/officeDocument/2006/relationships/hyperlink" Target="https://meteor.aihw.gov.au/content/480130" TargetMode="External" Id="R5c6e90c70c504cbf" /><Relationship Type="http://schemas.openxmlformats.org/officeDocument/2006/relationships/hyperlink" Target="https://meteor.aihw.gov.au/content/463944" TargetMode="External" Id="Rf6c3851082f34c16" /><Relationship Type="http://schemas.openxmlformats.org/officeDocument/2006/relationships/hyperlink" Target="https://meteor.aihw.gov.au/content/456559" TargetMode="External" Id="Ra4d6456f151446c5" /><Relationship Type="http://schemas.openxmlformats.org/officeDocument/2006/relationships/hyperlink" Target="https://meteor.aihw.gov.au/content/480133" TargetMode="External" Id="R89a1fc7bc3204542" /><Relationship Type="http://schemas.openxmlformats.org/officeDocument/2006/relationships/hyperlink" Target="https://meteor.aihw.gov.au/content/463821" TargetMode="External" Id="Rfeacec700c8140f3" /><Relationship Type="http://schemas.openxmlformats.org/officeDocument/2006/relationships/hyperlink" Target="https://meteor.aihw.gov.au/content/290315" TargetMode="External" Id="R5fe2b8d7e74e49d7" /><Relationship Type="http://schemas.openxmlformats.org/officeDocument/2006/relationships/hyperlink" Target="https://meteor.aihw.gov.au/content/290064" TargetMode="External" Id="R3dd3ab9c10604833" /><Relationship Type="http://schemas.openxmlformats.org/officeDocument/2006/relationships/hyperlink" Target="https://meteor.aihw.gov.au/content/290059" TargetMode="External" Id="R62d4da57f7394053" /><Relationship Type="http://schemas.openxmlformats.org/officeDocument/2006/relationships/hyperlink" Target="https://meteor.aihw.gov.au/content/289083" TargetMode="External" Id="R288cedd9afd44991" /><Relationship Type="http://schemas.openxmlformats.org/officeDocument/2006/relationships/hyperlink" Target="https://meteor.aihw.gov.au/content/462322" TargetMode="External" Id="R633f7751958842ef" /><Relationship Type="http://schemas.openxmlformats.org/officeDocument/2006/relationships/hyperlink" Target="https://meteor.aihw.gov.au/content/463084" TargetMode="External" Id="Rbf4e39f4b66640dd" /><Relationship Type="http://schemas.openxmlformats.org/officeDocument/2006/relationships/hyperlink" Target="https://meteor.aihw.gov.au/content/462314" TargetMode="External" Id="R8397f259e7974ca7" /><Relationship Type="http://schemas.openxmlformats.org/officeDocument/2006/relationships/hyperlink" Target="https://meteor.aihw.gov.au/content/463084" TargetMode="External" Id="R537f5cc1edc244e3" /><Relationship Type="http://schemas.openxmlformats.org/officeDocument/2006/relationships/hyperlink" Target="https://meteor.aihw.gov.au/content/462320" TargetMode="External" Id="R331122e514af490a" /><Relationship Type="http://schemas.openxmlformats.org/officeDocument/2006/relationships/hyperlink" Target="https://meteor.aihw.gov.au/content/462314" TargetMode="External" Id="Rd9b51de17b2344bd" /><Relationship Type="http://schemas.openxmlformats.org/officeDocument/2006/relationships/hyperlink" Target="https://meteor.aihw.gov.au/content/302656" TargetMode="External" Id="Ra346e47aaa614d46" /><Relationship Type="http://schemas.openxmlformats.org/officeDocument/2006/relationships/hyperlink" Target="https://meteor.aihw.gov.au/content/461595" TargetMode="External" Id="R55d5e2517aa74505" /><Relationship Type="http://schemas.openxmlformats.org/officeDocument/2006/relationships/hyperlink" Target="https://meteor.aihw.gov.au/content/463305" TargetMode="External" Id="Rbdd6fba99f664c01" /><Relationship Type="http://schemas.openxmlformats.org/officeDocument/2006/relationships/hyperlink" Target="https://meteor.aihw.gov.au/content/414990" TargetMode="External" Id="Rf5da295d84e948ef" /><Relationship Type="http://schemas.openxmlformats.org/officeDocument/2006/relationships/hyperlink" Target="https://meteor.aihw.gov.au/content/464818" TargetMode="External" Id="Rd28d0e4c969046b1" /><Relationship Type="http://schemas.openxmlformats.org/officeDocument/2006/relationships/hyperlink" Target="https://meteor.aihw.gov.au/content/480168" TargetMode="External" Id="R6511866258f54b60" /><Relationship Type="http://schemas.openxmlformats.org/officeDocument/2006/relationships/hyperlink" Target="https://meteor.aihw.gov.au/content/480170" TargetMode="External" Id="R4ee41d30aa3b4f40" /><Relationship Type="http://schemas.openxmlformats.org/officeDocument/2006/relationships/hyperlink" Target="https://meteor.aihw.gov.au/content/480172" TargetMode="External" Id="Reb3af90124b34473" /><Relationship Type="http://schemas.openxmlformats.org/officeDocument/2006/relationships/hyperlink" Target="https://meteor.aihw.gov.au/content/480166" TargetMode="External" Id="Rd7e0be2b910246eb" /><Relationship Type="http://schemas.openxmlformats.org/officeDocument/2006/relationships/hyperlink" Target="https://meteor.aihw.gov.au/content/480163" TargetMode="External" Id="R153a848f7fe9413d" /><Relationship Type="http://schemas.openxmlformats.org/officeDocument/2006/relationships/hyperlink" Target="https://meteor.aihw.gov.au/content/414987" TargetMode="External" Id="Rc1d03da8ce2f4c8d" /><Relationship Type="http://schemas.openxmlformats.org/officeDocument/2006/relationships/hyperlink" Target="https://meteor.aihw.gov.au/content/463320" TargetMode="External" Id="R0fcad121b1ab42ca" /><Relationship Type="http://schemas.openxmlformats.org/officeDocument/2006/relationships/hyperlink" Target="https://meteor.aihw.gov.au/content/412876" TargetMode="External" Id="R579e2b03b41e4dbe" /><Relationship Type="http://schemas.openxmlformats.org/officeDocument/2006/relationships/hyperlink" Target="https://meteor.aihw.gov.au/content/412868" TargetMode="External" Id="R81de9995711c4a21" /></Relationships>
</file>

<file path=word/_rels/header1.xml.rels>&#65279;<?xml version="1.0" encoding="utf-8"?><Relationships xmlns="http://schemas.openxmlformats.org/package/2006/relationships"><Relationship Type="http://schemas.openxmlformats.org/officeDocument/2006/relationships/image" Target="/media/image.png" Id="R1bc2685923414886" /></Relationships>
</file>