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29ea91f0e0450b" /></Relationships>
</file>

<file path=word/document.xml><?xml version="1.0" encoding="utf-8"?>
<w:document xmlns:r="http://schemas.openxmlformats.org/officeDocument/2006/relationships" xmlns:w="http://schemas.openxmlformats.org/wordprocessingml/2006/main">
  <w:body>
    <w:p>
      <w:pPr>
        <w:pStyle w:val="Title"/>
      </w:pPr>
      <w:r>
        <w:t>National Disability Agreement: (f)-Number of Indigenous people with disability receiving disability services as a proportion of the Indigenous potential population requiring services,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(f)-Number of Indigenous people with disability receiving disability services as a proportion of the Indigenous potential population requiring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efb0f00f2d438f">
              <w:r>
                <w:rPr>
                  <w:rStyle w:val="Hyperlink"/>
                  <w:color w:val="244061"/>
                </w:rPr>
                <w:t xml:space="preserve">Community Services (retired)</w:t>
              </w:r>
            </w:hyperlink>
            <w:r>
              <w:rPr>
                <w:rStyle w:val="row-content"/>
                <w:color w:val="244061"/>
              </w:rPr>
              <w:t xml:space="preserve">, Standard 05/03/2012</w:t>
            </w:r>
          </w:p>
          <w:p>
            <w:pPr>
              <w:spacing w:before="0" w:after="0"/>
            </w:pPr>
            <w:hyperlink w:history="true" r:id="R59c0c374c5634abd">
              <w:r>
                <w:rPr>
                  <w:rStyle w:val="Hyperlink"/>
                  <w:color w:val="244061"/>
                </w:rPr>
                <w:t xml:space="preserve">Indigenous</w:t>
              </w:r>
            </w:hyperlink>
            <w:r>
              <w:rPr>
                <w:rStyle w:val="row-content"/>
                <w:color w:val="244061"/>
              </w:rPr>
              <w:t xml:space="preserve">, Standard 11/09/2012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Indigeneity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2. 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rPr>
              <w:t xml:space="preserve">3.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spacing w:after="160"/>
            </w:pPr>
            <w:r>
              <w:rPr>
                <w:rStyle w:val="row-content-rich-text"/>
              </w:rPr>
              <w:t xml:space="preserve">4. The use of 2006 Census data to adjust underlying age-sex specific rates of severe or profound core activity limitation to account for the higher level of disability among Indigenous Australians involves mixing self-report data from a relatively simple instrument for measuring need for assistance with sample survey data collected by trained interviewers using a comprehensive survey instrument. 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p>
            <w:pPr/>
            <w:r>
              <w:rPr>
                <w:rStyle w:val="row-content-rich-text"/>
              </w:rPr>
              <w:t xml:space="preserve">5. There are issues with the consistency of the numerator and denominator for this performance indicator, as the numerator and denominator are drawn from differently defined populations and different data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5c77083ae5e44818">
              <w:r>
                <w:rPr>
                  <w:rStyle w:val="Hyperlink"/>
                </w:rPr>
                <w:t xml:space="preserve">AIHW website</w:t>
              </w:r>
            </w:hyperlink>
            <w:r>
              <w:rPr>
                <w:rStyle w:val="row-content-rich-text"/>
              </w:rPr>
              <w:t xml:space="preserve">.</w:t>
            </w:r>
          </w:p>
          <w:p>
            <w:pPr>
              <w:spacing w:after="160"/>
            </w:pPr>
            <w:r>
              <w:rPr>
                <w:rStyle w:val="row-content-rich-text"/>
              </w:rPr>
              <w:t xml:space="preserve">For general issues relating to the DS/CSTDA NMDS, refer to the DS/CSTDA NMDS Data Quality Statement.</w:t>
            </w:r>
          </w:p>
          <w:p>
            <w:pPr/>
            <w:r>
              <w:rPr>
                <w:rStyle w:val="row-content-rich-text"/>
              </w:rPr>
              <w:t xml:space="preserve">For information on the institutional environment of the ABS, including the legislative obligations of the ABS, please see </w:t>
            </w:r>
            <w:hyperlink w:history="true" r:id="R1d4a6fa38ae14bb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2008–09 and DS NMDS 2009–10</w:t>
            </w:r>
          </w:p>
          <w:p>
            <w:pPr/>
            <w:r>
              <w:rPr>
                <w:rStyle w:val="row-content-rich-text"/>
              </w:rPr>
              <w:t xml:space="preserve">ABS SDAC 2009; Census 2006; Indigenous projected population at 30 June 2008 and 30 June 2009 (projected population is based on data from the 2006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w:t>
            </w:r>
          </w:p>
          <w:p>
            <w:pPr>
              <w:pStyle w:val="ListParagraph"/>
              <w:numPr>
                <w:ilvl w:val="0"/>
                <w:numId w:val="2"/>
              </w:numPr>
            </w:pPr>
            <w:hyperlink w:history="true" r:id="R3216c9777ac243c7">
              <w:r>
                <w:rPr>
                  <w:rStyle w:val="Hyperlink"/>
                </w:rPr>
                <w:t xml:space="preserve">Aboriginal and Torres Strait Islander people with disability</w:t>
              </w:r>
            </w:hyperlink>
            <w:r>
              <w:rPr>
                <w:rStyle w:val="row-content-rich-text"/>
              </w:rPr>
              <w:t xml:space="preserve">, part of the Indigenous Observatory</w:t>
            </w:r>
          </w:p>
          <w:p>
            <w:pPr>
              <w:pStyle w:val="ListParagraph"/>
              <w:numPr>
                <w:ilvl w:val="0"/>
                <w:numId w:val="2"/>
              </w:numPr>
            </w:pPr>
            <w:r>
              <w:rPr>
                <w:rStyle w:val="row-content-rich-text"/>
              </w:rPr>
              <w:t xml:space="preserve">Interactive disability data cubes</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r>
              <w:rPr>
                <w:rStyle w:val="row-content-rich-text"/>
              </w:rPr>
              <w:t xml:space="preserve">The ABS website provides information and data on the ERP and the Indigenous Project Population, Census Need for Assistance and SDAC profound/ severe core-activity limitation. Detailed data extractions are available through the National Information Referral Service (cost-recovery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5c9bf4695f484a57">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Data from several different sources, each referencing different time periods, are used to produce performance indicator (f). Data used are from the CSTDA NMDS 2008–09 and DS NMDS 2009–2010, SDAC 2009, Indigenous Projected Population June 2008 and June 2009, and Census 2006. This may reduce the overall quality of the estimates. Some particular issues are listed in the Relevance section of the Data Quality Statement for performance indicator (c). Additionally,</w:t>
            </w:r>
          </w:p>
          <w:p>
            <w:pPr>
              <w:pStyle w:val="ListParagraph"/>
              <w:numPr>
                <w:ilvl w:val="0"/>
                <w:numId w:val="3"/>
              </w:numPr>
            </w:pPr>
            <w:r>
              <w:rPr>
                <w:rStyle w:val="row-content-rich-text"/>
              </w:rPr>
              <w:t xml:space="preserve">The indigeneity data item from the SDAC 2009 is not readily available, so a rate ratio adjustment, calculated from information from the Census, is made to the national all person age-sex specific severe/profound core activity limitation rates, as detailed in the Measure section. The use of these adjustments assumes consistency between the rate ratio as calculated from Census information, and the corresponding information if it were collected from the SDAC 2009. Two particular points of note with regards to this assumption are:</w:t>
            </w:r>
            <w:r>
              <w:br/>
            </w:r>
            <w:r>
              <w:br/>
            </w:r>
            <w:r>
              <w:rPr>
                <w:rStyle w:val="row-content-rich-text"/>
              </w:rPr>
              <w:t xml:space="preserve">        1.</w:t>
            </w:r>
            <w:r>
              <w:rPr>
                <w:rStyle w:val="row-content-rich-text"/>
              </w:rPr>
              <w:t xml:space="preserve">Information from Census 2006 about people with need for assistance with core activities is based on the self enumeration (interview in Indigenous communities) of four questions, whereas people are defined as having a severe/profound core activity limitation in SDAC 2009 on the basis of a comprehensive interviewer administered module of questions, and thus the two populations are different, although they are conceptually related.</w:t>
            </w:r>
            <w:r>
              <w:br/>
            </w:r>
            <w:r>
              <w:br/>
            </w:r>
            <w:r>
              <w:rPr>
                <w:rStyle w:val="row-content-rich-text"/>
              </w:rPr>
              <w:t xml:space="preserve">        2.</w:t>
            </w:r>
            <w:r>
              <w:rPr>
                <w:rStyle w:val="row-content-rich-text"/>
              </w:rPr>
              <w:t xml:space="preserve">ABS research indicates that the Indigenous identification rate differs between the Census and interviewer administered surveys.</w:t>
            </w:r>
            <w:r>
              <w:br/>
            </w:r>
          </w:p>
          <w:p>
            <w:pPr>
              <w:pStyle w:val="ListParagraph"/>
              <w:numPr>
                <w:ilvl w:val="0"/>
                <w:numId w:val="3"/>
              </w:numPr>
            </w:pPr>
            <w:r>
              <w:rPr>
                <w:rStyle w:val="row-content-rich-text"/>
              </w:rPr>
              <w:t xml:space="preserve">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r>
              <w:br/>
            </w:r>
          </w:p>
          <w:p>
            <w:pPr>
              <w:spacing w:after="160"/>
            </w:pPr>
            <w:r>
              <w:rPr>
                <w:rStyle w:val="row-content-rich-text"/>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542be8862e0a47c6">
              <w:r>
                <w:rPr>
                  <w:rStyle w:val="Hyperlink"/>
                </w:rPr>
                <w:t xml:space="preserve">Disability support services 2008–09</w:t>
              </w:r>
            </w:hyperlink>
            <w:r>
              <w:rPr>
                <w:rStyle w:val="row-content-rich-text"/>
              </w:rPr>
              <w:t xml:space="preserve"> and </w:t>
            </w:r>
            <w:hyperlink w:history="true" r:id="R2f131926dc6c421a">
              <w:r>
                <w:rPr>
                  <w:rStyle w:val="Hyperlink"/>
                </w:rPr>
                <w:t xml:space="preserve">Disability support services 2009–10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DS/CSTDA NMDS is people for whom Indigenous status is not stated or not collected. For 2009–10, the not stated/not collected rate varied across jurisdictions from a low rate of 0.3% for Australian Government agencies, to a high rate of 13.1% for Northern Territory agencies; the overall rate being 4.2%. For 2008–09, the not stated/not collected rate varied across jurisdictions from a low rate of 0.2% for Australian Government agencies, to a high rate of 12.6% for Victorian agencies; the overall rate being 4.6%. See the accompanying appendix for further details. Not stated or not collected Indigenous status may introduce bias into the results affecting both the accuracy of estimates and the comparability of estimates across jurisdictions. In addition, a coding audit of the Indigenous status data item has not been undertaken, thus the accuracy of the rate of Indigenous identification in the NMDS is not known.</w:t>
            </w:r>
          </w:p>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Being a sample survey, estimates from the SDAC 2009 are subject to sampling variability. A measure of the sampling variability, the relative standard error (RSE) percent, was estimated for the age-sex specific rates of severe/profound core activity limitation and can be found in the Accuracy section of the Data Quality Statement for Indicator (c).</w:t>
            </w:r>
          </w:p>
          <w:p>
            <w:pPr>
              <w:spacing w:after="160"/>
            </w:pPr>
            <w:r>
              <w:rPr>
                <w:rStyle w:val="row-content-rich-text"/>
              </w:rPr>
              <w:t xml:space="preserve">The cultural appropriateness for Indigenous people of data collection instruments designed for the total population is not known. Poor cultural sensitivity of data collection instruments is a potential source of non-sampling error which affects the accuracy of Indigenous potential population estimates. The size of this error, if present, cannot be measured.</w:t>
            </w:r>
          </w:p>
          <w:p>
            <w:pPr>
              <w:spacing w:after="160"/>
            </w:pPr>
            <w:r>
              <w:rPr>
                <w:rStyle w:val="row-content-rich-text"/>
              </w:rPr>
              <w:t xml:space="preserve">Potential sources of error in CQuality statements about Census 2006 data items can be found on the ABS website.</w:t>
            </w:r>
          </w:p>
          <w:p>
            <w:pPr>
              <w:spacing w:after="160"/>
            </w:pPr>
            <w:r>
              <w:rPr>
                <w:rStyle w:val="row-content-rich-text"/>
              </w:rPr>
              <w:t xml:space="preserve">For general issues relating to the SDAC, Census and Indigenous Projected Population, refer to ABS data quality statements.</w:t>
            </w:r>
          </w:p>
          <w:p>
            <w:pPr>
              <w:spacing w:after="160"/>
            </w:pPr>
            <w:r>
              <w:rPr>
                <w:rStyle w:val="row-content-rich-text"/>
              </w:rPr>
              <w:t xml:space="preserve">Census include failure to return a Census form or failure to answer every applicable question. Information calculated from Census 2006 data excludes people for whom data item information was not available. Should the characteristics of interest of the people excluded differ from those people included, there is potential for bias to be introduced. In particular for Indigenous estimates, undercounting of Indigenous Australians may introduce bias into the results which would affect the comparability of estimates across jurisdictions. The net Census undercount for all Indigenous Australians was estimated at 11.5%, calculated as the difference between the Census count and estimated Indigenous population on Census night. Estimates of the Indigenous net undercount for all jurisdictions are included below.</w:t>
            </w:r>
          </w:p>
          <w:p>
            <w:pPr>
              <w:spacing w:after="160"/>
            </w:pPr>
            <w:r>
              <w:rPr>
                <w:rStyle w:val="row-content-rich-text"/>
              </w:rPr>
              <w:t xml:space="preserve"> </w:t>
            </w:r>
          </w:p>
          <w:p>
            <w:pPr>
              <w:spacing w:after="160"/>
            </w:pPr>
            <w:r>
              <w:rPr>
                <w:rStyle w:val="row-content-rich-text"/>
                <w:i/>
              </w:rPr>
              <w:t xml:space="preserve">Estimated Indigenous net Census undercount</w:t>
            </w:r>
            <w:r>
              <w:br/>
            </w:r>
            <w:r>
              <w:rPr>
                <w:rStyle w:val="row-content-rich-text"/>
                <w:i/>
              </w:rPr>
              <w:t xml:space="preserve"> </w:t>
            </w:r>
          </w:p>
          <w:p>
            <w:pPr>
              <w:spacing w:after="160"/>
            </w:pPr>
            <w:r>
              <w:rPr>
                <w:rStyle w:val="row-content-rich-text"/>
                <w:i/>
              </w:rPr>
              <w:t xml:space="preserve"> </w:t>
            </w:r>
          </w:p>
          <w:tbl>
            <w:tblPr>
              <w:tblStyle w:val="TableGrid"/>
              <w:tblW w:w="5000" w:type="pct"/>
              <w:tblLayout w:type="autofit"/>
            </w:tblPr>
            <w:tblGrid>
              <w:gridCol/>
              <w:gridCol/>
            </w:tblGrid>
            <w:tr>
              <w:trPr/>
              <w:tc>
                <w:tcPr>
                  <w:tcW w:w="2250" w:type="pct"/>
                  <w:vAlign w:val="top"/>
                </w:tcPr>
                <w:p>
                  <w:pPr>
                    <w:spacing w:after="160"/>
                  </w:pPr>
                  <w:r>
                    <w:rPr>
                      <w:rStyle w:val="row-content-rich-text"/>
                      <w:i/>
                    </w:rPr>
                    <w:t xml:space="preserve"> </w:t>
                  </w:r>
                </w:p>
                <w:p>
                  <w:pPr/>
                  <w:r>
                    <w:rPr>
                      <w:rStyle w:val="row-content-rich-text"/>
                      <w:i/>
                      <w:u w:val="single"/>
                    </w:rPr>
                    <w:t xml:space="preserve">Jurisdiction</w:t>
                  </w:r>
                </w:p>
              </w:tc>
              <w:tc>
                <w:tcPr>
                  <w:tcW w:w="2750" w:type="pct"/>
                  <w:vAlign w:val="top"/>
                </w:tcPr>
                <w:p>
                  <w:pPr/>
                  <w:r>
                    <w:rPr>
                      <w:rStyle w:val="row-content-rich-text"/>
                      <w:i/>
                      <w:u w:val="single"/>
                    </w:rPr>
                    <w:t xml:space="preserve">Undercount rate %</w:t>
                  </w:r>
                </w:p>
              </w:tc>
            </w:tr>
            <w:tr>
              <w:trPr/>
              <w:tc>
                <w:tcPr>
                  <w:tcW w:w="2250" w:type="pct"/>
                  <w:vAlign w:val="top"/>
                </w:tcPr>
                <w:p>
                  <w:pPr/>
                  <w:r>
                    <w:rPr>
                      <w:rStyle w:val="row-content-rich-text"/>
                      <w:i/>
                    </w:rPr>
                    <w:t xml:space="preserve">NSW</w:t>
                  </w:r>
                </w:p>
              </w:tc>
              <w:tc>
                <w:tcPr>
                  <w:tcW w:w="2750" w:type="pct"/>
                  <w:vAlign w:val="top"/>
                </w:tcPr>
                <w:p>
                  <w:r>
                    <w:rPr>
                      <w:i/>
                    </w:rPr>
                    <w:t xml:space="preserve">8.6</w:t>
                  </w:r>
                </w:p>
              </w:tc>
            </w:tr>
            <w:tr>
              <w:trPr/>
              <w:tc>
                <w:tcPr>
                  <w:tcW w:w="2250" w:type="pct"/>
                  <w:vAlign w:val="top"/>
                </w:tcPr>
                <w:p>
                  <w:r>
                    <w:rPr>
                      <w:i/>
                    </w:rPr>
                    <w:t xml:space="preserve">Vic.</w:t>
                  </w:r>
                </w:p>
              </w:tc>
              <w:tc>
                <w:tcPr>
                  <w:tcW w:w="2750" w:type="pct"/>
                  <w:vAlign w:val="top"/>
                </w:tcPr>
                <w:p>
                  <w:r>
                    <w:rPr>
                      <w:i/>
                    </w:rPr>
                    <w:t xml:space="preserve">9.4</w:t>
                  </w:r>
                </w:p>
              </w:tc>
            </w:tr>
            <w:tr>
              <w:trPr/>
              <w:tc>
                <w:tcPr>
                  <w:tcW w:w="2250" w:type="pct"/>
                  <w:vAlign w:val="top"/>
                </w:tcPr>
                <w:p>
                  <w:r>
                    <w:rPr>
                      <w:i/>
                    </w:rPr>
                    <w:t xml:space="preserve">Qld</w:t>
                  </w:r>
                </w:p>
              </w:tc>
              <w:tc>
                <w:tcPr>
                  <w:tcW w:w="2750" w:type="pct"/>
                  <w:vAlign w:val="top"/>
                </w:tcPr>
                <w:p>
                  <w:r>
                    <w:rPr>
                      <w:i/>
                    </w:rPr>
                    <w:t xml:space="preserve">11.6</w:t>
                  </w:r>
                </w:p>
              </w:tc>
            </w:tr>
            <w:tr>
              <w:trPr/>
              <w:tc>
                <w:tcPr>
                  <w:tcW w:w="2250" w:type="pct"/>
                  <w:vAlign w:val="top"/>
                </w:tcPr>
                <w:p>
                  <w:r>
                    <w:rPr>
                      <w:i/>
                    </w:rPr>
                    <w:t xml:space="preserve">WA</w:t>
                  </w:r>
                </w:p>
              </w:tc>
              <w:tc>
                <w:tcPr>
                  <w:tcW w:w="2750" w:type="pct"/>
                  <w:vAlign w:val="top"/>
                </w:tcPr>
                <w:p>
                  <w:r>
                    <w:rPr>
                      <w:i/>
                    </w:rPr>
                    <w:t xml:space="preserve">16.6</w:t>
                  </w:r>
                </w:p>
              </w:tc>
            </w:tr>
            <w:tr>
              <w:trPr/>
              <w:tc>
                <w:tcPr>
                  <w:tcW w:w="2250" w:type="pct"/>
                  <w:vAlign w:val="top"/>
                </w:tcPr>
                <w:p>
                  <w:r>
                    <w:rPr>
                      <w:i/>
                    </w:rPr>
                    <w:t xml:space="preserve">SA</w:t>
                  </w:r>
                </w:p>
              </w:tc>
              <w:tc>
                <w:tcPr>
                  <w:tcW w:w="2750" w:type="pct"/>
                  <w:vAlign w:val="top"/>
                </w:tcPr>
                <w:p>
                  <w:r>
                    <w:rPr>
                      <w:i/>
                    </w:rPr>
                    <w:t xml:space="preserve">8.6</w:t>
                  </w:r>
                </w:p>
              </w:tc>
            </w:tr>
            <w:tr>
              <w:trPr/>
              <w:tc>
                <w:tcPr>
                  <w:tcW w:w="2250" w:type="pct"/>
                  <w:vAlign w:val="top"/>
                </w:tcPr>
                <w:p>
                  <w:r>
                    <w:rPr>
                      <w:i/>
                    </w:rPr>
                    <w:t xml:space="preserve">Tas.</w:t>
                  </w:r>
                </w:p>
              </w:tc>
              <w:tc>
                <w:tcPr>
                  <w:tcW w:w="2750" w:type="pct"/>
                  <w:vAlign w:val="top"/>
                </w:tcPr>
                <w:p>
                  <w:r>
                    <w:rPr>
                      <w:i/>
                    </w:rPr>
                    <w:t xml:space="preserve">8.8</w:t>
                  </w:r>
                </w:p>
              </w:tc>
            </w:tr>
            <w:tr>
              <w:trPr/>
              <w:tc>
                <w:tcPr>
                  <w:tcW w:w="2250" w:type="pct"/>
                  <w:vAlign w:val="top"/>
                </w:tcPr>
                <w:p>
                  <w:r>
                    <w:rPr>
                      <w:i/>
                    </w:rPr>
                    <w:t xml:space="preserve">ACT</w:t>
                  </w:r>
                </w:p>
              </w:tc>
              <w:tc>
                <w:tcPr>
                  <w:tcW w:w="2750" w:type="pct"/>
                  <w:vAlign w:val="top"/>
                </w:tcPr>
                <w:p>
                  <w:r>
                    <w:rPr>
                      <w:i/>
                    </w:rPr>
                    <w:t xml:space="preserve">8.8</w:t>
                  </w:r>
                </w:p>
              </w:tc>
            </w:tr>
            <w:tr>
              <w:trPr/>
              <w:tc>
                <w:tcPr>
                  <w:tcW w:w="2250" w:type="pct"/>
                  <w:vAlign w:val="top"/>
                </w:tcPr>
                <w:p>
                  <w:r>
                    <w:rPr>
                      <w:i/>
                    </w:rPr>
                    <w:t xml:space="preserve">NT</w:t>
                  </w:r>
                </w:p>
              </w:tc>
              <w:tc>
                <w:tcPr>
                  <w:tcW w:w="2750" w:type="pct"/>
                  <w:vAlign w:val="top"/>
                </w:tcPr>
                <w:p>
                  <w:r>
                    <w:rPr>
                      <w:i/>
                    </w:rPr>
                    <w:t xml:space="preserve">16.0</w:t>
                  </w:r>
                </w:p>
              </w:tc>
            </w:tr>
          </w:tbl>
          <w:p>
            <w:r>
              <w:rPr>
                <w:i/>
              </w:rPr>
              <w:t xml:space="preserve"> </w:t>
            </w:r>
          </w:p>
          <w:p>
            <w:r>
              <w:rPr>
                <w:i/>
              </w:rPr>
              <w:t xml:space="preserve"> </w:t>
            </w:r>
          </w:p>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r>
                    <w:rPr>
                      <w:i/>
                    </w:rPr>
                    <w:t xml:space="preserve">Source: ABS Cat no. 3238.0.55.001</w:t>
                  </w:r>
                </w:p>
              </w:tc>
            </w:tr>
          </w:tbl>
          <w:p>
            <w:r>
              <w:rPr>
                <w:i/>
              </w:rPr>
              <w:t xml:space="preserve"> </w:t>
            </w:r>
          </w:p>
          <w:p>
            <w:r>
              <w:rPr>
                <w:i/>
              </w:rPr>
              <w:t xml:space="preserve">Quality statements about Census 2006 data items can be found on the </w:t>
            </w:r>
            <w:hyperlink w:history="true" r:id="R6809dea4afa6465d">
              <w:r>
                <w:rPr>
                  <w:rStyle w:val="Hyperlink"/>
                  <w:i/>
                </w:rPr>
                <w:t xml:space="preserve">ABS website</w:t>
              </w:r>
            </w:hyperlink>
            <w:r>
              <w:rPr>
                <w:i/>
              </w:rPr>
              <w:t xml:space="preserve">.</w:t>
            </w:r>
          </w:p>
          <w:p>
            <w:r>
              <w:rPr>
                <w:i/>
              </w:rPr>
              <w:t xml:space="preserve">For general issues relating to the SDAC, Census and Indigenous Projected Population, refer to ABS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general issues relating to the DS/CSTDA NMDS, refer to the DS/CSTDA NMDS Data Quality Statement.</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For example, the proportion of the 15–24 year old Victorian Indigenous potential population accessing State/Territory delivered disability support services in 2009–10 is reported to be 128.4% (131.6% in 2008-09). A combination of data quality issues, as discussed in this and previous sections, has led to this impossible figure.</w:t>
            </w:r>
          </w:p>
          <w:p>
            <w:pPr>
              <w:spacing w:after="160"/>
            </w:pPr>
            <w:r>
              <w:rPr>
                <w:rStyle w:val="row-content-rich-text"/>
              </w:rPr>
              <w:t xml:space="preserve">While the numerator is taken from the DS/CSTDA NMDS, the denominator is an estimate derived from SDAC, Indigenous Projected Population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w:t>
            </w:r>
          </w:p>
          <w:p>
            <w:pPr>
              <w:spacing w:after="160"/>
            </w:pPr>
            <w:r>
              <w:rPr>
                <w:rStyle w:val="row-content-rich-text"/>
              </w:rPr>
              <w:t xml:space="preserve">The method used to calculate the Indigenous potential population estimates is the same as that adopted by the Disability Services Working Group for calculation of special needs group indicators for the Report on Government Services 2011.</w:t>
            </w:r>
          </w:p>
          <w:p>
            <w:pPr/>
            <w:r>
              <w:rPr>
                <w:rStyle w:val="row-content-rich-text"/>
              </w:rPr>
              <w:t xml:space="preserve">For general issues relating to the SDAC, Census and Indigenous Projected Population, refer to ABS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c2c2cc4ae14699">
              <w:r>
                <w:rPr>
                  <w:rStyle w:val="Hyperlink"/>
                </w:rPr>
                <w:t xml:space="preserve">Number of Indigenous people with disability receiving disability services as a proportion of the Indigenous potential population requiring services, 2011 QS</w:t>
              </w:r>
            </w:hyperlink>
          </w:p>
          <w:p>
            <w:pPr>
              <w:spacing w:before="0" w:after="0"/>
            </w:pPr>
            <w:r>
              <w:rPr>
                <w:rStyle w:val="row-content"/>
                <w:color w:val="244061"/>
              </w:rPr>
              <w:t xml:space="preserve">       </w:t>
            </w:r>
            <w:hyperlink w:history="true" r:id="R2ca13c3abbbb492e">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c36458e70a54ac5">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e131962e0d7416b">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7b9ae4795434ea4">
              <w:r>
                <w:rPr>
                  <w:rStyle w:val="Hyperlink"/>
                  <w:color w:val="244061"/>
                </w:rPr>
                <w:t xml:space="preserve">Indigenous</w:t>
              </w:r>
            </w:hyperlink>
            <w:r>
              <w:rPr>
                <w:rStyle w:val="row-content"/>
                <w:color w:val="244061"/>
              </w:rPr>
              <w:t xml:space="preserve">, Standard 11/09/2012</w:t>
            </w:r>
          </w:p>
          <w:p>
            <w:r>
              <w:br/>
            </w:r>
            <w:hyperlink w:history="true" r:id="R62fb135ba97a4bb6">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50520a720b654933">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292797d254c944e3">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384c040a0e4a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478532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6a9256fc8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c040a0e4a40f5" /><Relationship Type="http://schemas.openxmlformats.org/officeDocument/2006/relationships/header" Target="/word/header1.xml" Id="R3985040bf5144592" /><Relationship Type="http://schemas.openxmlformats.org/officeDocument/2006/relationships/settings" Target="/word/settings.xml" Id="Reeba1e9c9ea94ae4" /><Relationship Type="http://schemas.openxmlformats.org/officeDocument/2006/relationships/styles" Target="/word/styles.xml" Id="R037be7a4c217460f" /><Relationship Type="http://schemas.openxmlformats.org/officeDocument/2006/relationships/hyperlink" Target="https://meteor.aihw.gov.au/RegistrationAuthority/1" TargetMode="External" Id="R12efb0f00f2d438f" /><Relationship Type="http://schemas.openxmlformats.org/officeDocument/2006/relationships/hyperlink" Target="https://meteor.aihw.gov.au/RegistrationAuthority/6" TargetMode="External" Id="R59c0c374c5634abd" /><Relationship Type="http://schemas.openxmlformats.org/officeDocument/2006/relationships/hyperlink" Target="http://www.aihw.gov.au/" TargetMode="External" Id="R5c77083ae5e44818" /><Relationship Type="http://schemas.openxmlformats.org/officeDocument/2006/relationships/hyperlink" Target="http://http//www.abs.gov.au/websitedbs/D3310114.nsf/4a256353001af3ed4b2562bb00121564/10ca14cb967e5b83ca2573ae00197b65!OpenDocument" TargetMode="External" Id="R1d4a6fa38ae14bb2" /><Relationship Type="http://schemas.openxmlformats.org/officeDocument/2006/relationships/numbering" Target="/word/numbering.xml" Id="R0cde8ea0b8c24c32" /><Relationship Type="http://schemas.openxmlformats.org/officeDocument/2006/relationships/hyperlink" Target="http://www.aihw.gov.au/indigenous-observatory-disability/" TargetMode="External" Id="R3216c9777ac243c7" /><Relationship Type="http://schemas.openxmlformats.org/officeDocument/2006/relationships/hyperlink" Target="http://www.aihw.gov.au/" TargetMode="External" Id="R5c9bf4695f484a57" /><Relationship Type="http://schemas.openxmlformats.org/officeDocument/2006/relationships/hyperlink" Target="http://www.aihw.gov.au/disability-publications/" TargetMode="External" Id="R542be8862e0a47c6" /><Relationship Type="http://schemas.openxmlformats.org/officeDocument/2006/relationships/hyperlink" Target="http://www.aihw.gov.au/disability-publications/" TargetMode="External" Id="R2f131926dc6c421a" /><Relationship Type="http://schemas.openxmlformats.org/officeDocument/2006/relationships/hyperlink" Target="http://www.abs.gov.au/" TargetMode="External" Id="R6809dea4afa6465d" /><Relationship Type="http://schemas.openxmlformats.org/officeDocument/2006/relationships/hyperlink" Target="https://meteor.aihw.gov.au/content/453681" TargetMode="External" Id="Rbac2c2cc4ae14699" /><Relationship Type="http://schemas.openxmlformats.org/officeDocument/2006/relationships/hyperlink" Target="https://meteor.aihw.gov.au/RegistrationAuthority/1" TargetMode="External" Id="R2ca13c3abbbb492e" /><Relationship Type="http://schemas.openxmlformats.org/officeDocument/2006/relationships/hyperlink" Target="https://meteor.aihw.gov.au/content/467943" TargetMode="External" Id="Rdc36458e70a54ac5" /><Relationship Type="http://schemas.openxmlformats.org/officeDocument/2006/relationships/hyperlink" Target="https://meteor.aihw.gov.au/RegistrationAuthority/1" TargetMode="External" Id="R6e131962e0d7416b" /><Relationship Type="http://schemas.openxmlformats.org/officeDocument/2006/relationships/hyperlink" Target="https://meteor.aihw.gov.au/RegistrationAuthority/6" TargetMode="External" Id="Rc7b9ae4795434ea4" /><Relationship Type="http://schemas.openxmlformats.org/officeDocument/2006/relationships/hyperlink" Target="https://meteor.aihw.gov.au/content/467946" TargetMode="External" Id="R62fb135ba97a4bb6" /><Relationship Type="http://schemas.openxmlformats.org/officeDocument/2006/relationships/hyperlink" Target="https://meteor.aihw.gov.au/RegistrationAuthority/1" TargetMode="External" Id="R50520a720b654933" /><Relationship Type="http://schemas.openxmlformats.org/officeDocument/2006/relationships/hyperlink" Target="https://meteor.aihw.gov.au/RegistrationAuthority/6" TargetMode="External" Id="R292797d254c944e3" /></Relationships>
</file>

<file path=word/_rels/header1.xml.rels>&#65279;<?xml version="1.0" encoding="utf-8"?><Relationships xmlns="http://schemas.openxmlformats.org/package/2006/relationships"><Relationship Type="http://schemas.openxmlformats.org/officeDocument/2006/relationships/image" Target="/media/image.png" Id="Re8c6a9256fc84ae1" /></Relationships>
</file>