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285a57b41455a" /></Relationships>
</file>

<file path=word/document.xml><?xml version="1.0" encoding="utf-8"?>
<w:document xmlns:r="http://schemas.openxmlformats.org/officeDocument/2006/relationships" xmlns:w="http://schemas.openxmlformats.org/wordprocessingml/2006/main">
  <w:body>
    <w:p>
      <w:pPr>
        <w:pStyle w:val="Title"/>
      </w:pPr>
      <w:r>
        <w:t>Dwelling—National Partnership Agreement on Remote Indigenous Housing (NPARIH) funding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Dwelling—National Partnership Agreement on Remote Indigenous Housing (NPARIH)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National Partnership Agreement on Remote Indigenous Housing (NPARIH)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e4f735ba74c6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dwelling is funded under the </w:t>
            </w:r>
          </w:p>
          <w:p>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60ce5908f56e4c5f">
              <w:r>
                <w:rPr>
                  <w:rStyle w:val="Hyperlink"/>
                  <w:b/>
                </w:rPr>
                <w:t xml:space="preserve">National Partnership Agreement on Remote Indigenous Housing</w:t>
              </w:r>
            </w:hyperlink>
            <w:r>
              <w:rPr>
                <w:rStyle w:val="row-content-rich-text"/>
              </w:rPr>
              <w:t xml:space="preserve"> (NPARIH), expressed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08aa33b8a4f53">
              <w:r>
                <w:rPr>
                  <w:rStyle w:val="Hyperlink"/>
                </w:rPr>
                <w:t xml:space="preserve">Dwelling—National Partnership Agreement on Remote Indigenous Housing (NPARIH)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48c6a5b940466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49e3379cde4769">
              <w:r>
                <w:rPr>
                  <w:rStyle w:val="Hyperlink"/>
                </w:rPr>
                <w:t xml:space="preserve">Dwelling file cluster (Indigenous community housing)</w:t>
              </w:r>
            </w:hyperlink>
          </w:p>
          <w:p>
            <w:pPr>
              <w:spacing w:before="0" w:after="0"/>
            </w:pPr>
            <w:r>
              <w:rPr>
                <w:rStyle w:val="row-content"/>
                <w:color w:val="244061"/>
              </w:rPr>
              <w:t xml:space="preserve">       </w:t>
            </w:r>
            <w:hyperlink w:history="true" r:id="R5ca47763a9dc4e0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Indigenous Community Housing 2009-10 collection the codeset was recorded with alternate values, and should be mapped to the values in the table below.</w:t>
            </w:r>
          </w:p>
          <w:p>
            <w:r>
              <w:rPr>
                <w:rStyle w:val="row-content"/>
              </w:rPr>
              <w:t xml:space="preserve"> </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ICH value</w:t>
                  </w:r>
                </w:p>
              </w:tc>
            </w:tr>
            <w:tr>
              <w:trPr/>
              <w:tc>
                <w:tcPr>
                  <w:tcW w:w="1400" w:type="pct"/>
                  <w:vAlign w:val="top"/>
                </w:tcPr>
                <w:p>
                  <w:r>
                    <w:t xml:space="preserve">1</w:t>
                  </w:r>
                </w:p>
              </w:tc>
              <w:tc>
                <w:tcPr>
                  <w:tcW w:w="2500" w:type="pct"/>
                  <w:vAlign w:val="top"/>
                </w:tcPr>
                <w:p>
                  <w:r>
                    <w:t xml:space="preserve">Yes</w:t>
                  </w:r>
                </w:p>
              </w:tc>
              <w:tc>
                <w:tcPr>
                  <w:tcW w:w="1050" w:type="pct"/>
                  <w:vAlign w:val="top"/>
                </w:tcPr>
                <w:p>
                  <w:r>
                    <w:t xml:space="preserve">1</w:t>
                  </w:r>
                </w:p>
              </w:tc>
            </w:tr>
            <w:tr>
              <w:trPr/>
              <w:tc>
                <w:tcPr>
                  <w:tcW w:w="1400" w:type="pct"/>
                  <w:vAlign w:val="top"/>
                </w:tcPr>
                <w:p>
                  <w:r>
                    <w:t xml:space="preserve">2</w:t>
                  </w:r>
                </w:p>
              </w:tc>
              <w:tc>
                <w:tcPr>
                  <w:tcW w:w="2500" w:type="pct"/>
                  <w:vAlign w:val="top"/>
                </w:tcPr>
                <w:p>
                  <w:r>
                    <w:t xml:space="preserve">No</w:t>
                  </w:r>
                </w:p>
              </w:tc>
              <w:tc>
                <w:tcPr>
                  <w:tcW w:w="1050" w:type="pct"/>
                  <w:vAlign w:val="top"/>
                </w:tcPr>
                <w:p>
                  <w:r>
                    <w:t xml:space="preserve">0</w:t>
                  </w:r>
                </w:p>
              </w:tc>
            </w:tr>
            <w:tr>
              <w:trPr/>
              <w:tc>
                <w:tcPr>
                  <w:tcW w:w="1400" w:type="pct"/>
                  <w:vAlign w:val="top"/>
                </w:tcPr>
                <w:p>
                  <w:r>
                    <w:t xml:space="preserve">9</w:t>
                  </w:r>
                </w:p>
              </w:tc>
              <w:tc>
                <w:tcPr>
                  <w:tcW w:w="2500" w:type="pct"/>
                  <w:vAlign w:val="top"/>
                </w:tcPr>
                <w:p>
                  <w:r>
                    <w:t xml:space="preserve">Not state/Inadequately described</w:t>
                  </w:r>
                </w:p>
              </w:tc>
              <w:tc>
                <w:tcPr>
                  <w:tcW w:w="1050" w:type="pct"/>
                  <w:vAlign w:val="top"/>
                </w:tcPr>
                <w:p>
                  <w:r>
                    <w:t xml:space="preserve">U</w:t>
                  </w:r>
                </w:p>
              </w:tc>
            </w:tr>
          </w:tbl>
          <w:p>
            <w:r>
              <w:t xml:space="preserve"> </w:t>
            </w:r>
          </w:p>
          <w:p>
            <w:r>
              <w:br/>
            </w:r>
            <w:r>
              <w:br/>
            </w:r>
          </w:p>
        </w:tc>
      </w:tr>
    </w:tbl>
    <w:p/>
    <w:tbl>
      <w:tblPr>
        <w:tblStyle w:val="TableGrid"/>
        <w:tblW w:w="0" w:type="auto"/>
      </w:tblPr>
    </w:tbl>
    <w:p>
      <w:r>
        <w:br/>
      </w:r>
    </w:p>
    <w:sectPr>
      <w:footerReference xmlns:r="http://schemas.openxmlformats.org/officeDocument/2006/relationships" w:type="default" r:id="R06402edc9dc3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35627af7a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02edc9dc34561" /><Relationship Type="http://schemas.openxmlformats.org/officeDocument/2006/relationships/header" Target="/word/header1.xml" Id="Rd871e3a25e2f4217" /><Relationship Type="http://schemas.openxmlformats.org/officeDocument/2006/relationships/settings" Target="/word/settings.xml" Id="R101d2474ef9e4c19" /><Relationship Type="http://schemas.openxmlformats.org/officeDocument/2006/relationships/styles" Target="/word/styles.xml" Id="R8e7d41aadab14487" /><Relationship Type="http://schemas.openxmlformats.org/officeDocument/2006/relationships/hyperlink" Target="https://meteor.aihw.gov.au/RegistrationAuthority/11" TargetMode="External" Id="R139e4f735ba74c67" /><Relationship Type="http://schemas.openxmlformats.org/officeDocument/2006/relationships/hyperlink" Target="https://meteor.aihw.gov.au/content/461625" TargetMode="External" Id="R60ce5908f56e4c5f" /><Relationship Type="http://schemas.openxmlformats.org/officeDocument/2006/relationships/hyperlink" Target="https://meteor.aihw.gov.au/content/461629" TargetMode="External" Id="R21608aa33b8a4f53" /><Relationship Type="http://schemas.openxmlformats.org/officeDocument/2006/relationships/hyperlink" Target="https://meteor.aihw.gov.au/content/301747" TargetMode="External" Id="Re548c6a5b9404663" /><Relationship Type="http://schemas.openxmlformats.org/officeDocument/2006/relationships/hyperlink" Target="https://meteor.aihw.gov.au/content/463920" TargetMode="External" Id="R2349e3379cde4769" /><Relationship Type="http://schemas.openxmlformats.org/officeDocument/2006/relationships/hyperlink" Target="https://meteor.aihw.gov.au/RegistrationAuthority/11" TargetMode="External" Id="R5ca47763a9dc4e0a" /></Relationships>
</file>

<file path=word/_rels/header1.xml.rels>&#65279;<?xml version="1.0" encoding="utf-8"?><Relationships xmlns="http://schemas.openxmlformats.org/package/2006/relationships"><Relationship Type="http://schemas.openxmlformats.org/officeDocument/2006/relationships/image" Target="/media/image.png" Id="R8ff35627af7a4328" /></Relationships>
</file>