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49c571faa04566" /></Relationships>
</file>

<file path=word/document.xml><?xml version="1.0" encoding="utf-8"?>
<w:document xmlns:r="http://schemas.openxmlformats.org/officeDocument/2006/relationships" xmlns:w="http://schemas.openxmlformats.org/wordprocessingml/2006/main">
  <w:body>
    <w:p>
      <w:pPr>
        <w:pStyle w:val="Title"/>
      </w:pPr>
      <w:r>
        <w:t>Comorbidities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Comorbidities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b24c5020941c6">
              <w:r>
                <w:rPr>
                  <w:rStyle w:val="Hyperlink"/>
                  <w:color w:val="244061"/>
                </w:rPr>
                <w:t xml:space="preserve">Health</w:t>
              </w:r>
            </w:hyperlink>
            <w:r>
              <w:rPr>
                <w:rStyle w:val="row-content"/>
                <w:color w:val="244061"/>
              </w:rPr>
              <w:t xml:space="preserve">, Recorded 10/04/2014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diseases or conditions present at diagnosis and defined as comorbidities relevant to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 mellitis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Renal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comorbidities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comorbidities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Comorbidities are present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comorbid condition present in the patient at the time of diagnosis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Cardiovascular</w:t>
            </w:r>
            <w:r>
              <w:br/>
            </w:r>
            <w:r>
              <w:rPr>
                <w:rStyle w:val="row-content-rich-text"/>
              </w:rPr>
              <w:t xml:space="preserve"> </w:t>
            </w:r>
          </w:p>
          <w:p>
            <w:pPr>
              <w:spacing w:after="160"/>
            </w:pPr>
            <w:r>
              <w:rPr>
                <w:rStyle w:val="row-content-rich-text"/>
                <w:u w:val="single"/>
              </w:rPr>
              <w:t xml:space="preserve"> </w:t>
            </w:r>
          </w:p>
          <w:p>
            <w:pPr>
              <w:spacing w:after="160"/>
            </w:pPr>
            <w:r>
              <w:rPr>
                <w:rStyle w:val="row-content-rich-text"/>
                <w:b/>
                <w:u w:val="single"/>
              </w:rPr>
              <w:t xml:space="preserve"> </w:t>
            </w:r>
          </w:p>
          <w:p>
            <w:pPr>
              <w:spacing w:after="160"/>
            </w:pPr>
            <w:r>
              <w:rPr>
                <w:rStyle w:val="row-content-rich-text"/>
                <w:b/>
              </w:rPr>
              <w:t xml:space="preserve">Defined as the presence of one or more of the following:</w:t>
            </w:r>
          </w:p>
          <w:p>
            <w:pPr>
              <w:pStyle w:val="ListParagraph"/>
              <w:numPr>
                <w:ilvl w:val="0"/>
                <w:numId w:val="2"/>
              </w:numPr>
            </w:pPr>
            <w:r>
              <w:rPr>
                <w:rStyle w:val="row-content-rich-text"/>
                <w:b/>
              </w:rPr>
              <w:t xml:space="preserve">congestive heart failure,</w:t>
            </w:r>
          </w:p>
          <w:p>
            <w:pPr>
              <w:pStyle w:val="ListParagraph"/>
              <w:numPr>
                <w:ilvl w:val="0"/>
                <w:numId w:val="2"/>
              </w:numPr>
            </w:pPr>
            <w:r>
              <w:rPr>
                <w:rStyle w:val="row-content-rich-text"/>
                <w:b/>
              </w:rPr>
              <w:t xml:space="preserve">ischaemic cardiopathy with/without myocardial infarction</w:t>
            </w:r>
          </w:p>
          <w:p>
            <w:pPr>
              <w:pStyle w:val="ListParagraph"/>
              <w:numPr>
                <w:ilvl w:val="0"/>
                <w:numId w:val="2"/>
              </w:numPr>
            </w:pPr>
            <w:r>
              <w:rPr>
                <w:rStyle w:val="row-content-rich-text"/>
                <w:b/>
              </w:rPr>
              <w:t xml:space="preserve">severe valvular cardiopathy</w:t>
            </w:r>
          </w:p>
          <w:p>
            <w:pPr>
              <w:pStyle w:val="ListParagraph"/>
              <w:numPr>
                <w:ilvl w:val="0"/>
                <w:numId w:val="2"/>
              </w:numPr>
            </w:pPr>
            <w:r>
              <w:rPr>
                <w:rStyle w:val="row-content-rich-text"/>
                <w:b/>
              </w:rPr>
              <w:t xml:space="preserve">arrhythmia requiring chronic treatment</w:t>
            </w:r>
          </w:p>
          <w:p>
            <w:pPr>
              <w:pStyle w:val="ListParagraph"/>
              <w:numPr>
                <w:ilvl w:val="0"/>
                <w:numId w:val="2"/>
              </w:numPr>
            </w:pPr>
            <w:r>
              <w:rPr>
                <w:rStyle w:val="row-content-rich-text"/>
                <w:b/>
              </w:rPr>
              <w:t xml:space="preserve">history of cerebrovascular disease</w:t>
            </w:r>
          </w:p>
          <w:p>
            <w:pPr>
              <w:pStyle w:val="ListParagraph"/>
              <w:numPr>
                <w:ilvl w:val="0"/>
                <w:numId w:val="2"/>
              </w:numPr>
            </w:pPr>
            <w:r>
              <w:rPr>
                <w:rStyle w:val="row-content-rich-text"/>
                <w:b/>
              </w:rPr>
              <w:t xml:space="preserve">hypertension and/or peripheral vascular disease</w:t>
            </w:r>
          </w:p>
          <w:p>
            <w:pPr>
              <w:spacing w:after="160"/>
            </w:pPr>
            <w:r>
              <w:rPr>
                <w:rStyle w:val="row-content-rich-text"/>
                <w:b/>
              </w:rPr>
              <w:t xml:space="preserve">CODE 2   Respiratory</w:t>
            </w:r>
          </w:p>
          <w:p>
            <w:pPr>
              <w:spacing w:after="160"/>
            </w:pPr>
            <w:r>
              <w:rPr>
                <w:rStyle w:val="row-content-rich-text"/>
                <w:b/>
              </w:rPr>
              <w:t xml:space="preserve">Defined as the presence of one or more of the following:</w:t>
            </w:r>
          </w:p>
          <w:p>
            <w:pPr>
              <w:pStyle w:val="ListParagraph"/>
              <w:numPr>
                <w:ilvl w:val="0"/>
                <w:numId w:val="3"/>
              </w:numPr>
            </w:pPr>
            <w:r>
              <w:rPr>
                <w:rStyle w:val="row-content-rich-text"/>
                <w:b/>
              </w:rPr>
              <w:t xml:space="preserve">history of tuberculosis</w:t>
            </w:r>
          </w:p>
          <w:p>
            <w:pPr>
              <w:pStyle w:val="ListParagraph"/>
              <w:numPr>
                <w:ilvl w:val="0"/>
                <w:numId w:val="3"/>
              </w:numPr>
            </w:pPr>
            <w:r>
              <w:rPr>
                <w:rStyle w:val="row-content-rich-text"/>
                <w:b/>
              </w:rPr>
              <w:t xml:space="preserve">history of pleural effusion or pneumonia</w:t>
            </w:r>
          </w:p>
          <w:p>
            <w:pPr>
              <w:pStyle w:val="ListParagraph"/>
              <w:numPr>
                <w:ilvl w:val="0"/>
                <w:numId w:val="3"/>
              </w:numPr>
            </w:pPr>
            <w:r>
              <w:rPr>
                <w:rStyle w:val="row-content-rich-text"/>
                <w:b/>
              </w:rPr>
              <w:t xml:space="preserve">asthma</w:t>
            </w:r>
          </w:p>
          <w:p>
            <w:pPr>
              <w:pStyle w:val="ListParagraph"/>
              <w:numPr>
                <w:ilvl w:val="0"/>
                <w:numId w:val="3"/>
              </w:numPr>
            </w:pPr>
            <w:r>
              <w:rPr>
                <w:rStyle w:val="row-content-rich-text"/>
                <w:b/>
              </w:rPr>
              <w:t xml:space="preserve">pulmonary embolism</w:t>
            </w:r>
          </w:p>
          <w:p>
            <w:pPr>
              <w:pStyle w:val="ListParagraph"/>
              <w:numPr>
                <w:ilvl w:val="0"/>
                <w:numId w:val="3"/>
              </w:numPr>
            </w:pPr>
            <w:r>
              <w:rPr>
                <w:rStyle w:val="row-content-rich-text"/>
                <w:b/>
              </w:rPr>
              <w:t xml:space="preserve">chronic pulmonary insufficiency (as defined by a chronic hypoxemia less than 60 mmHg and/or chronic obstructive pulmonary disease (COPD) inducing a FEV</w:t>
            </w:r>
            <w:r>
              <w:rPr>
                <w:rStyle w:val="row-content-rich-text"/>
                <w:b/>
                <w:vertAlign w:val="subscript"/>
              </w:rPr>
              <w:t xml:space="preserve">¹</w:t>
            </w:r>
            <w:r>
              <w:rPr>
                <w:rStyle w:val="row-content-rich-text"/>
                <w:b/>
              </w:rPr>
              <w:t xml:space="preserve"> less than 1.5l)</w:t>
            </w:r>
          </w:p>
          <w:p>
            <w:pPr>
              <w:spacing w:after="160"/>
            </w:pPr>
            <w:r>
              <w:rPr>
                <w:rStyle w:val="row-content-rich-text"/>
                <w:b/>
              </w:rPr>
              <w:t xml:space="preserve">CODE 3   Diabetes mellitis</w:t>
            </w:r>
          </w:p>
          <w:p>
            <w:pPr>
              <w:spacing w:after="160"/>
            </w:pPr>
            <w:r>
              <w:rPr>
                <w:rStyle w:val="row-content-rich-text"/>
                <w:b/>
              </w:rPr>
              <w:t xml:space="preserve">Defined as diabetes treated with either oral hypoglycaemics or insulin</w:t>
            </w:r>
          </w:p>
          <w:p>
            <w:pPr>
              <w:spacing w:after="160"/>
            </w:pPr>
            <w:r>
              <w:rPr>
                <w:rStyle w:val="row-content-rich-text"/>
                <w:b/>
              </w:rPr>
              <w:t xml:space="preserve">CODE 4   Renal insufficiency</w:t>
            </w:r>
          </w:p>
          <w:p>
            <w:pPr>
              <w:spacing w:after="160"/>
            </w:pPr>
            <w:r>
              <w:rPr>
                <w:rStyle w:val="row-content-rich-text"/>
                <w:b/>
              </w:rPr>
              <w:t xml:space="preserve">Defined as a creatinine clearance lower than 60 ml min­</w:t>
            </w:r>
          </w:p>
          <w:p>
            <w:pPr>
              <w:spacing w:after="160"/>
            </w:pPr>
            <w:r>
              <w:rPr>
                <w:rStyle w:val="row-content-rich-text"/>
                <w:b/>
              </w:rPr>
              <w:t xml:space="preserve">CODE 8   Other</w:t>
            </w:r>
          </w:p>
          <w:p>
            <w:pPr/>
            <w:r>
              <w:rPr>
                <w:rStyle w:val="row-content-rich-text"/>
                <w:b/>
              </w:rPr>
              <w:t xml:space="preserve">Any relevant comorbidity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Comorbidities may be an important variable in treatment decisions and prognosis.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dde5645def43e1">
              <w:r>
                <w:rPr>
                  <w:rStyle w:val="Hyperlink"/>
                </w:rPr>
                <w:t xml:space="preserve">Person with cancer—comorbidities, code N[N]</w:t>
              </w:r>
            </w:hyperlink>
          </w:p>
          <w:p>
            <w:pPr>
              <w:spacing w:before="0" w:after="0"/>
            </w:pPr>
            <w:r>
              <w:rPr>
                <w:rStyle w:val="row-content"/>
                <w:color w:val="244061"/>
              </w:rPr>
              <w:t xml:space="preserve">       </w:t>
            </w:r>
            <w:hyperlink w:history="true" r:id="R626058b88d024c11">
              <w:r>
                <w:rPr>
                  <w:rStyle w:val="Hyperlink"/>
                  <w:color w:val="244061"/>
                </w:rPr>
                <w:t xml:space="preserve">Health</w:t>
              </w:r>
            </w:hyperlink>
            <w:r>
              <w:rPr>
                <w:rStyle w:val="row-content"/>
                <w:color w:val="244061"/>
              </w:rPr>
              <w:t xml:space="preserve">, Recorded 10/04/2014</w:t>
            </w:r>
          </w:p>
          <w:p>
            <w:r>
              <w:br/>
            </w:r>
          </w:p>
        </w:tc>
      </w:tr>
    </w:tbl>
    <w:p>
      <w:r>
        <w:br/>
      </w:r>
    </w:p>
    <w:sectPr>
      <w:footerReference xmlns:r="http://schemas.openxmlformats.org/officeDocument/2006/relationships" w:type="default" r:id="R9d798d26d280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458079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e8658a3a7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98d26d2804578" /><Relationship Type="http://schemas.openxmlformats.org/officeDocument/2006/relationships/header" Target="/word/header1.xml" Id="Rc2f6ceddc2fc450b" /><Relationship Type="http://schemas.openxmlformats.org/officeDocument/2006/relationships/settings" Target="/word/settings.xml" Id="Rc9b2d04579484469" /><Relationship Type="http://schemas.openxmlformats.org/officeDocument/2006/relationships/styles" Target="/word/styles.xml" Id="R2c94e78e56b04e62" /><Relationship Type="http://schemas.openxmlformats.org/officeDocument/2006/relationships/hyperlink" Target="https://meteor.aihw.gov.au/RegistrationAuthority/12" TargetMode="External" Id="R2b8b24c5020941c6" /><Relationship Type="http://schemas.openxmlformats.org/officeDocument/2006/relationships/numbering" Target="/word/numbering.xml" Id="R236f5f4f45954731" /><Relationship Type="http://schemas.openxmlformats.org/officeDocument/2006/relationships/hyperlink" Target="https://meteor.aihw.gov.au/content/458075" TargetMode="External" Id="R0edde5645def43e1" /><Relationship Type="http://schemas.openxmlformats.org/officeDocument/2006/relationships/hyperlink" Target="https://meteor.aihw.gov.au/RegistrationAuthority/12" TargetMode="External" Id="R626058b88d024c11" /></Relationships>
</file>

<file path=word/_rels/header1.xml.rels>&#65279;<?xml version="1.0" encoding="utf-8"?><Relationships xmlns="http://schemas.openxmlformats.org/package/2006/relationships"><Relationship Type="http://schemas.openxmlformats.org/officeDocument/2006/relationships/image" Target="/media/image.png" Id="Rda2e8658a3a74e8f" /></Relationships>
</file>