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403288bfa4517"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2e32c07be4fa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bd9fe9976f4595">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bccdd36714c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f245b47bbf14661">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08c39fdfcc1d4ace">
              <w:r>
                <w:rPr>
                  <w:rStyle w:val="Hyperlink"/>
                  <w:color w:val="244061"/>
                </w:rPr>
                <w:t xml:space="preserve">Disability</w:t>
              </w:r>
            </w:hyperlink>
            <w:r>
              <w:rPr>
                <w:rStyle w:val="row-content"/>
                <w:color w:val="244061"/>
              </w:rPr>
              <w:t xml:space="preserve">, Standard 13/08/2015</w:t>
            </w:r>
          </w:p>
          <w:p>
            <w:pPr>
              <w:spacing w:before="0" w:after="0"/>
            </w:pPr>
            <w:hyperlink w:history="true" r:id="R50b17fcba405491b">
              <w:r>
                <w:rPr>
                  <w:rStyle w:val="Hyperlink"/>
                  <w:color w:val="244061"/>
                </w:rPr>
                <w:t xml:space="preserve">Early Childhood</w:t>
              </w:r>
            </w:hyperlink>
            <w:r>
              <w:rPr>
                <w:rStyle w:val="row-content"/>
                <w:color w:val="244061"/>
              </w:rPr>
              <w:t xml:space="preserve">, Superseded 24/07/2018</w:t>
            </w:r>
          </w:p>
          <w:p>
            <w:pPr>
              <w:spacing w:before="0" w:after="0"/>
            </w:pPr>
            <w:hyperlink w:history="true" r:id="R1261475a1cda45fb">
              <w:r>
                <w:rPr>
                  <w:rStyle w:val="Hyperlink"/>
                  <w:color w:val="244061"/>
                </w:rPr>
                <w:t xml:space="preserve">Health</w:t>
              </w:r>
            </w:hyperlink>
            <w:r>
              <w:rPr>
                <w:rStyle w:val="row-content"/>
                <w:color w:val="244061"/>
              </w:rPr>
              <w:t xml:space="preserve">, Superseded 06/12/2016</w:t>
            </w:r>
          </w:p>
          <w:p>
            <w:pPr>
              <w:spacing w:before="0" w:after="0"/>
            </w:pPr>
            <w:hyperlink w:history="true" r:id="R77a2bcaaf7ab45c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f3f96e72d24c1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f7d5e2523f445f">
              <w:r>
                <w:rPr>
                  <w:rStyle w:val="Hyperlink"/>
                </w:rPr>
                <w:t xml:space="preserve">Statistical area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688d137f3741f7">
              <w:r>
                <w:rPr>
                  <w:rStyle w:val="Hyperlink"/>
                </w:rPr>
                <w:t xml:space="preserve">Statistical area level 3 (SA3) code (ASGS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e56a1e1ac494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standardised regional breakup of Australia. The aim of Statistical areas level 3 (SA3s) is to create a standard framework for the analysis of ABS data at the regional level through clustering groups of Statistical areas level 2 (SA2s) that have similar regional characteristics.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aa6946c63d48d7">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56131c9ede5845db">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0" w:type="auto"/>
      </w:tblPr>
    </w:tbl>
    <w:p>
      <w:r>
        <w:br/>
      </w:r>
    </w:p>
    <w:sectPr>
      <w:footerReference xmlns:r="http://schemas.openxmlformats.org/officeDocument/2006/relationships" w:type="default" r:id="R82638841db2e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fea32c868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38841db2e4ef6" /><Relationship Type="http://schemas.openxmlformats.org/officeDocument/2006/relationships/header" Target="/word/header1.xml" Id="R6ebd2886e7e74a65" /><Relationship Type="http://schemas.openxmlformats.org/officeDocument/2006/relationships/settings" Target="/word/settings.xml" Id="Rf824c88ca0964604" /><Relationship Type="http://schemas.openxmlformats.org/officeDocument/2006/relationships/styles" Target="/word/styles.xml" Id="R1def760acf9c47b9" /><Relationship Type="http://schemas.openxmlformats.org/officeDocument/2006/relationships/hyperlink" Target="https://meteor.aihw.gov.au/RegistrationAuthority/8" TargetMode="External" Id="R6da2e32c07be4fab" /><Relationship Type="http://schemas.openxmlformats.org/officeDocument/2006/relationships/hyperlink" Target="https://meteor.aihw.gov.au/content/457285" TargetMode="External" Id="R6ebd9fe9976f4595" /><Relationship Type="http://schemas.openxmlformats.org/officeDocument/2006/relationships/hyperlink" Target="https://meteor.aihw.gov.au/RegistrationAuthority/17" TargetMode="External" Id="R6dcbccdd36714c5b" /><Relationship Type="http://schemas.openxmlformats.org/officeDocument/2006/relationships/hyperlink" Target="https://meteor.aihw.gov.au/RegistrationAuthority/1" TargetMode="External" Id="Rbf245b47bbf14661" /><Relationship Type="http://schemas.openxmlformats.org/officeDocument/2006/relationships/hyperlink" Target="https://meteor.aihw.gov.au/RegistrationAuthority/16" TargetMode="External" Id="R08c39fdfcc1d4ace" /><Relationship Type="http://schemas.openxmlformats.org/officeDocument/2006/relationships/hyperlink" Target="https://meteor.aihw.gov.au/RegistrationAuthority/13" TargetMode="External" Id="R50b17fcba405491b" /><Relationship Type="http://schemas.openxmlformats.org/officeDocument/2006/relationships/hyperlink" Target="https://meteor.aihw.gov.au/RegistrationAuthority/12" TargetMode="External" Id="R1261475a1cda45fb" /><Relationship Type="http://schemas.openxmlformats.org/officeDocument/2006/relationships/hyperlink" Target="https://meteor.aihw.gov.au/RegistrationAuthority/8" TargetMode="External" Id="R77a2bcaaf7ab45c2" /><Relationship Type="http://schemas.openxmlformats.org/officeDocument/2006/relationships/hyperlink" Target="https://meteor.aihw.gov.au/content/428657" TargetMode="External" Id="R9cf3f96e72d24c1f" /><Relationship Type="http://schemas.openxmlformats.org/officeDocument/2006/relationships/hyperlink" Target="https://meteor.aihw.gov.au/content/457283" TargetMode="External" Id="R0af7d5e2523f445f" /><Relationship Type="http://schemas.openxmlformats.org/officeDocument/2006/relationships/hyperlink" Target="https://meteor.aihw.gov.au/content/455824" TargetMode="External" Id="Rb9688d137f3741f7" /><Relationship Type="http://schemas.openxmlformats.org/officeDocument/2006/relationships/hyperlink" Target="https://meteor.aihw.gov.au/RegistrationAuthority/8" TargetMode="External" Id="R013e56a1e1ac4942" /><Relationship Type="http://schemas.openxmlformats.org/officeDocument/2006/relationships/hyperlink" Target="https://meteor.aihw.gov.au/content/437772" TargetMode="External" Id="R6eaa6946c63d48d7" /><Relationship Type="http://schemas.openxmlformats.org/officeDocument/2006/relationships/hyperlink" Target="http://www.abs.gov.au/AUSSTATS/abs@.nsf/DetailsPage/1270.0.55.001July%202011?OpenDocument" TargetMode="External" Id="R56131c9ede5845db" /></Relationships>
</file>

<file path=word/_rels/header1.xml.rels>&#65279;<?xml version="1.0" encoding="utf-8"?><Relationships xmlns="http://schemas.openxmlformats.org/package/2006/relationships"><Relationship Type="http://schemas.openxmlformats.org/officeDocument/2006/relationships/image" Target="/media/image.png" Id="Rb0ffea32c8684c2d" /></Relationships>
</file>