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dace2ea8d44e7"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ed6115fb14ff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799b24f5da47d8">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eb28848edd564ace">
              <w:r>
                <w:rPr>
                  <w:rStyle w:val="Hyperlink"/>
                  <w:b/>
                </w:rPr>
                <w:t xml:space="preserve">investigation</w:t>
              </w:r>
            </w:hyperlink>
            <w:r>
              <w:rPr>
                <w:rStyle w:val="row-content-rich-text"/>
              </w:rPr>
              <w:t xml:space="preserve"> into a child protection notification concludes,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94050c3164848">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ee2723145943e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concludes when the investigation and assessment document is approved by a senior responsible officer. Conclusion of an investigation requires that a decision has been made regarding the appropriate outcome (i.e. substantiated or not substantiated).</w:t>
            </w:r>
          </w:p>
          <w:p>
            <w:pPr/>
            <w:r>
              <w:rPr>
                <w:rStyle w:val="row-content-rich-text"/>
              </w:rPr>
              <w:t xml:space="preserve">This data element may be used in conjunction with </w:t>
            </w:r>
            <w:hyperlink w:history="true" r:id="R6befe597b18b4497">
              <w:r>
                <w:rPr>
                  <w:rStyle w:val="Hyperlink"/>
                </w:rPr>
                <w:t xml:space="preserve">Child protection notification—investigation commencement date, DDMMYYYY</w:t>
              </w:r>
            </w:hyperlink>
            <w:r>
              <w:rPr>
                <w:rStyle w:val="row-content-rich-text"/>
              </w:rPr>
              <w:t xml:space="preserve"> to measure the length of time of an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concluded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4f2f2a436941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dced4aff24c71">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2e8b27e17a164aed">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6e0e16ab05fc4506">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68ca4674534d49f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f57909f7820476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a8a56c8694685">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1694817e4a39402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c6398b2c4d9240a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475474c30df4b0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b1e7ca3c67b46a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722acb1b878f490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50c215535e1415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49f082681d9a43e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62e5c1934dd41a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fe16bc5753a143d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adf372c813a49b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3d9a83c4b6ff49f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b5da59496fd4c9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d50137f8d0814c8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728977d111948d3">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927c13892a4b468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a651daaaec845a3">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1d7c01205bd45d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b5f32c3496d40ea">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a22350431a646eb">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2087c956ef9f40c5">
              <w:r>
                <w:rPr>
                  <w:rStyle w:val="Hyperlink"/>
                  <w:color w:val="244061"/>
                </w:rPr>
                <w:t xml:space="preserve">Children and Families</w:t>
              </w:r>
            </w:hyperlink>
            <w:r>
              <w:rPr>
                <w:rStyle w:val="row-content"/>
                <w:color w:val="244061"/>
              </w:rPr>
              <w:t xml:space="preserve">, Standard 18/04/2023</w:t>
            </w:r>
          </w:p>
          <w:p>
            <w:r>
              <w:br/>
            </w:r>
            <w:r>
              <w:rPr>
                <w:rStyle w:val="row-content"/>
                <w:b/>
              </w:rPr>
              <w:t xml:space="preserve">Used as Denominator</w:t>
            </w:r>
            <w:r>
              <w:br/>
            </w:r>
            <w:hyperlink w:history="true" r:id="R03bdc7dc0ca64a47">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0813b31f2b1f4ce0">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8d20cb24d869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034d7b9e7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0cb24d8694999" /><Relationship Type="http://schemas.openxmlformats.org/officeDocument/2006/relationships/header" Target="/word/header1.xml" Id="R619c99aa7f3b46c2" /><Relationship Type="http://schemas.openxmlformats.org/officeDocument/2006/relationships/settings" Target="/word/settings.xml" Id="R5a49870749454df7" /><Relationship Type="http://schemas.openxmlformats.org/officeDocument/2006/relationships/styles" Target="/word/styles.xml" Id="Rcc168f405b644e34" /><Relationship Type="http://schemas.openxmlformats.org/officeDocument/2006/relationships/hyperlink" Target="https://meteor.aihw.gov.au/RegistrationAuthority/17" TargetMode="External" Id="R756ed6115fb14ff0" /><Relationship Type="http://schemas.openxmlformats.org/officeDocument/2006/relationships/hyperlink" Target="https://meteor.aihw.gov.au/RegistrationAuthority/1" TargetMode="External" Id="R92799b24f5da47d8" /><Relationship Type="http://schemas.openxmlformats.org/officeDocument/2006/relationships/hyperlink" Target="https://meteor.aihw.gov.au/content/367345" TargetMode="External" Id="Reb28848edd564ace" /><Relationship Type="http://schemas.openxmlformats.org/officeDocument/2006/relationships/hyperlink" Target="https://meteor.aihw.gov.au/content/456519" TargetMode="External" Id="R22e94050c3164848" /><Relationship Type="http://schemas.openxmlformats.org/officeDocument/2006/relationships/hyperlink" Target="https://meteor.aihw.gov.au/content/270566" TargetMode="External" Id="Rd5ee2723145943eb" /><Relationship Type="http://schemas.openxmlformats.org/officeDocument/2006/relationships/hyperlink" Target="https://meteor.aihw.gov.au/content/455361" TargetMode="External" Id="R6befe597b18b4497" /><Relationship Type="http://schemas.openxmlformats.org/officeDocument/2006/relationships/hyperlink" Target="https://meteor.aihw.gov.au/content/246013" TargetMode="External" Id="R3b4f2f2a4369418e" /><Relationship Type="http://schemas.openxmlformats.org/officeDocument/2006/relationships/hyperlink" Target="https://meteor.aihw.gov.au/content/316549" TargetMode="External" Id="R777dced4aff24c71" /><Relationship Type="http://schemas.openxmlformats.org/officeDocument/2006/relationships/hyperlink" Target="https://meteor.aihw.gov.au/RegistrationAuthority/1" TargetMode="External" Id="R2e8b27e17a164aed" /><Relationship Type="http://schemas.openxmlformats.org/officeDocument/2006/relationships/hyperlink" Target="https://meteor.aihw.gov.au/content/455361" TargetMode="External" Id="R6e0e16ab05fc4506" /><Relationship Type="http://schemas.openxmlformats.org/officeDocument/2006/relationships/hyperlink" Target="https://meteor.aihw.gov.au/RegistrationAuthority/17" TargetMode="External" Id="R68ca4674534d49fa" /><Relationship Type="http://schemas.openxmlformats.org/officeDocument/2006/relationships/hyperlink" Target="https://meteor.aihw.gov.au/RegistrationAuthority/1" TargetMode="External" Id="Rbf57909f7820476e" /><Relationship Type="http://schemas.openxmlformats.org/officeDocument/2006/relationships/hyperlink" Target="https://meteor.aihw.gov.au/content/433700" TargetMode="External" Id="R8aaa8a56c8694685" /><Relationship Type="http://schemas.openxmlformats.org/officeDocument/2006/relationships/hyperlink" Target="https://meteor.aihw.gov.au/RegistrationAuthority/1" TargetMode="External" Id="R1694817e4a394027" /><Relationship Type="http://schemas.openxmlformats.org/officeDocument/2006/relationships/hyperlink" Target="https://meteor.aihw.gov.au/content/492995" TargetMode="External" Id="Rc6398b2c4d9240af" /><Relationship Type="http://schemas.openxmlformats.org/officeDocument/2006/relationships/hyperlink" Target="https://meteor.aihw.gov.au/RegistrationAuthority/17" TargetMode="External" Id="R4475474c30df4b01" /><Relationship Type="http://schemas.openxmlformats.org/officeDocument/2006/relationships/hyperlink" Target="https://meteor.aihw.gov.au/RegistrationAuthority/1" TargetMode="External" Id="R1b1e7ca3c67b46ae" /><Relationship Type="http://schemas.openxmlformats.org/officeDocument/2006/relationships/hyperlink" Target="https://meteor.aihw.gov.au/content/655210" TargetMode="External" Id="R722acb1b878f4903" /><Relationship Type="http://schemas.openxmlformats.org/officeDocument/2006/relationships/hyperlink" Target="https://meteor.aihw.gov.au/RegistrationAuthority/17" TargetMode="External" Id="R650c215535e14150" /><Relationship Type="http://schemas.openxmlformats.org/officeDocument/2006/relationships/hyperlink" Target="https://meteor.aihw.gov.au/content/656478" TargetMode="External" Id="R49f082681d9a43ef" /><Relationship Type="http://schemas.openxmlformats.org/officeDocument/2006/relationships/hyperlink" Target="https://meteor.aihw.gov.au/RegistrationAuthority/17" TargetMode="External" Id="R262e5c1934dd41ac" /><Relationship Type="http://schemas.openxmlformats.org/officeDocument/2006/relationships/hyperlink" Target="https://meteor.aihw.gov.au/content/656498" TargetMode="External" Id="Rfe16bc5753a143da" /><Relationship Type="http://schemas.openxmlformats.org/officeDocument/2006/relationships/hyperlink" Target="https://meteor.aihw.gov.au/RegistrationAuthority/17" TargetMode="External" Id="R5adf372c813a49b6" /><Relationship Type="http://schemas.openxmlformats.org/officeDocument/2006/relationships/hyperlink" Target="https://meteor.aihw.gov.au/content/688435" TargetMode="External" Id="R3d9a83c4b6ff49fb" /><Relationship Type="http://schemas.openxmlformats.org/officeDocument/2006/relationships/hyperlink" Target="https://meteor.aihw.gov.au/RegistrationAuthority/17" TargetMode="External" Id="R5b5da59496fd4c9c" /><Relationship Type="http://schemas.openxmlformats.org/officeDocument/2006/relationships/hyperlink" Target="https://meteor.aihw.gov.au/content/706956" TargetMode="External" Id="Rd50137f8d0814c86" /><Relationship Type="http://schemas.openxmlformats.org/officeDocument/2006/relationships/hyperlink" Target="https://meteor.aihw.gov.au/RegistrationAuthority/17" TargetMode="External" Id="R9728977d111948d3" /><Relationship Type="http://schemas.openxmlformats.org/officeDocument/2006/relationships/hyperlink" Target="https://meteor.aihw.gov.au/content/748919" TargetMode="External" Id="R927c13892a4b468c" /><Relationship Type="http://schemas.openxmlformats.org/officeDocument/2006/relationships/hyperlink" Target="https://meteor.aihw.gov.au/RegistrationAuthority/17" TargetMode="External" Id="R1a651daaaec845a3" /><Relationship Type="http://schemas.openxmlformats.org/officeDocument/2006/relationships/hyperlink" Target="https://meteor.aihw.gov.au/content/773500" TargetMode="External" Id="R41d7c01205bd45d5" /><Relationship Type="http://schemas.openxmlformats.org/officeDocument/2006/relationships/hyperlink" Target="https://meteor.aihw.gov.au/RegistrationAuthority/17" TargetMode="External" Id="R7b5f32c3496d40ea" /><Relationship Type="http://schemas.openxmlformats.org/officeDocument/2006/relationships/hyperlink" Target="https://meteor.aihw.gov.au/content/757336" TargetMode="External" Id="Rea22350431a646eb" /><Relationship Type="http://schemas.openxmlformats.org/officeDocument/2006/relationships/hyperlink" Target="https://meteor.aihw.gov.au/RegistrationAuthority/17" TargetMode="External" Id="R2087c956ef9f40c5" /><Relationship Type="http://schemas.openxmlformats.org/officeDocument/2006/relationships/hyperlink" Target="https://meteor.aihw.gov.au/content/757336" TargetMode="External" Id="R03bdc7dc0ca64a47" /><Relationship Type="http://schemas.openxmlformats.org/officeDocument/2006/relationships/hyperlink" Target="https://meteor.aihw.gov.au/RegistrationAuthority/17" TargetMode="External" Id="R0813b31f2b1f4ce0" /></Relationships>
</file>

<file path=word/_rels/header1.xml.rels>&#65279;<?xml version="1.0" encoding="utf-8"?><Relationships xmlns="http://schemas.openxmlformats.org/package/2006/relationships"><Relationship Type="http://schemas.openxmlformats.org/officeDocument/2006/relationships/image" Target="/media/image.png" Id="Rd67034d7b9e7404b" /></Relationships>
</file>