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318a07ba174e81"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Single/couple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df0f59ab943a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household member,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0bc48609004290">
              <w:r>
                <w:rPr>
                  <w:rStyle w:val="Hyperlink"/>
                </w:rPr>
                <w:t xml:space="preserve">Person—household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42afdcf25949e8">
              <w:r>
                <w:rPr>
                  <w:rStyle w:val="Hyperlink"/>
                </w:rPr>
                <w:t xml:space="preserve">Single/couple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status OR couple relationship with non-household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relationship with another household member (de facto or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relationship status is assigned to each member of the household, including children.</w:t>
            </w:r>
          </w:p>
          <w:p>
            <w:pPr>
              <w:spacing w:after="160"/>
            </w:pPr>
            <w:r>
              <w:rPr>
                <w:rStyle w:val="row-content-rich-text"/>
              </w:rPr>
              <w:t xml:space="preserve"> </w:t>
            </w:r>
          </w:p>
          <w:p>
            <w:pPr>
              <w:spacing w:after="160"/>
            </w:pPr>
            <w:r>
              <w:rPr>
                <w:rStyle w:val="row-content-rich-text"/>
                <w:b/>
              </w:rPr>
              <w:t xml:space="preserve">CODE 1 </w:t>
            </w:r>
            <w:r>
              <w:rPr>
                <w:rStyle w:val="row-content-rich-text"/>
                <w:b/>
              </w:rPr>
              <w:t xml:space="preserve">Single status OR couple relationship with non-household member</w:t>
            </w:r>
          </w:p>
          <w:p>
            <w:pPr>
              <w:spacing w:after="160"/>
            </w:pPr>
            <w:r>
              <w:rPr>
                <w:rStyle w:val="row-content-rich-text"/>
              </w:rPr>
              <w:t xml:space="preserve">This code includes individuals that identify as being single, and those that are involved in a couple relationship but the partner is not a member of the household (i.e. not nominated on the tenancy agreement).</w:t>
            </w:r>
          </w:p>
          <w:p>
            <w:pPr>
              <w:spacing w:after="160"/>
            </w:pPr>
            <w:r>
              <w:rPr>
                <w:rStyle w:val="row-content-rich-text"/>
                <w:b/>
              </w:rPr>
              <w:t xml:space="preserve">CODE 2 Couple relationship with another household member</w:t>
            </w:r>
          </w:p>
          <w:p>
            <w:pPr>
              <w:spacing w:after="160"/>
            </w:pPr>
            <w:r>
              <w:rPr>
                <w:rStyle w:val="row-content-rich-text"/>
              </w:rPr>
              <w:t xml:space="preserve">This code includes individuals that identify as being in a couple relationship, and live in the same dwelling (i.e. both nominated as a household member on the tenancy agreement).</w:t>
            </w:r>
          </w:p>
          <w:p>
            <w:pPr>
              <w:spacing w:after="160"/>
            </w:pPr>
            <w:r>
              <w:rPr>
                <w:rStyle w:val="row-content-rich-text"/>
                <w:b/>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used to determine whether overcrowding exists in a dwelling, under the Canadian National Occupancy Standard (CNOS). CNOS guidelines use age, sex and relationship status of the tenants and number of bedrooms in the dwelling, to determine whether the household is overcrowded.</w:t>
            </w:r>
          </w:p>
          <w:p>
            <w:pPr>
              <w:spacing w:after="160"/>
            </w:pPr>
            <w:r>
              <w:rPr>
                <w:rStyle w:val="row-content-rich-text"/>
              </w:rPr>
              <w:t xml:space="preserve">The standard specifies:</w:t>
            </w:r>
          </w:p>
          <w:p>
            <w:pPr>
              <w:spacing w:after="160"/>
            </w:pPr>
            <w:r>
              <w:rPr>
                <w:rStyle w:val="row-content-rich-text"/>
              </w:rPr>
              <w:t xml:space="preserve">• no more than two people shall share a bedroom</w:t>
            </w:r>
          </w:p>
          <w:p>
            <w:pPr>
              <w:spacing w:after="160"/>
            </w:pPr>
            <w:r>
              <w:rPr>
                <w:rStyle w:val="row-content-rich-text"/>
              </w:rPr>
              <w:t xml:space="preserve">• parents or couples may share a bedroom</w:t>
            </w:r>
          </w:p>
          <w:p>
            <w:pPr>
              <w:spacing w:after="160"/>
            </w:pPr>
            <w:r>
              <w:rPr>
                <w:rStyle w:val="row-content-rich-text"/>
              </w:rPr>
              <w:t xml:space="preserve">• children under 5 years, either of the same sex or opposite sex may share a bedroom</w:t>
            </w:r>
          </w:p>
          <w:p>
            <w:pPr>
              <w:spacing w:after="160"/>
            </w:pPr>
            <w:r>
              <w:rPr>
                <w:rStyle w:val="row-content-rich-text"/>
              </w:rPr>
              <w:t xml:space="preserve">• children under 18 years of the same sex may share a bedroom</w:t>
            </w:r>
          </w:p>
          <w:p>
            <w:pPr>
              <w:spacing w:after="160"/>
            </w:pPr>
            <w:r>
              <w:rPr>
                <w:rStyle w:val="row-content-rich-text"/>
              </w:rPr>
              <w:t xml:space="preserve">• a child aged 5 to 17 years should not share a bedroom with a child under 5 of the opposite sex</w:t>
            </w:r>
          </w:p>
          <w:p>
            <w:pPr>
              <w:spacing w:after="160"/>
            </w:pPr>
            <w:r>
              <w:rPr>
                <w:rStyle w:val="row-content-rich-text"/>
              </w:rPr>
              <w:t xml:space="preserve">• single adults 18 years and over and any unpaired children require a separate bedroom.</w:t>
            </w:r>
          </w:p>
          <w:p>
            <w:pPr/>
            <w:r>
              <w:rPr>
                <w:rStyle w:val="row-content-rich-text"/>
              </w:rPr>
              <w:t xml:space="preserve">If the total number of bedrooms required by a household exceeds the number of bedrooms available to the household by one or more, then the household is deemed overcrowded.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37ed0b9dbe4dd9">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Indigenous community housing collection manual, 2009-10.</w:t>
            </w:r>
          </w:p>
          <w:p>
            <w:pPr>
              <w:spacing w:after="160"/>
            </w:pPr>
            <w:r>
              <w:rPr>
                <w:rStyle w:val="row-content-rich-text"/>
              </w:rPr>
              <w:t xml:space="preserve">AIHW. Public rental housing collection manual, 2009-10.</w:t>
            </w:r>
          </w:p>
          <w:p>
            <w:pPr/>
            <w:r>
              <w:rPr>
                <w:rStyle w:val="row-content-rich-text"/>
              </w:rPr>
              <w:t xml:space="preserve">AIHW. SOMIH collection manual,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4436ada2064338">
              <w:r>
                <w:rPr>
                  <w:rStyle w:val="Hyperlink"/>
                </w:rPr>
                <w:t xml:space="preserve">Person—household single/couple status, code N</w:t>
              </w:r>
            </w:hyperlink>
          </w:p>
          <w:p>
            <w:pPr>
              <w:spacing w:before="0" w:after="0"/>
            </w:pPr>
            <w:r>
              <w:rPr>
                <w:rStyle w:val="row-content"/>
                <w:color w:val="244061"/>
              </w:rPr>
              <w:t xml:space="preserve">       </w:t>
            </w:r>
            <w:hyperlink w:history="true" r:id="R6165c36932014037">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f25f10da2d41c0">
              <w:r>
                <w:rPr>
                  <w:rStyle w:val="Hyperlink"/>
                </w:rPr>
                <w:t xml:space="preserve">Person (housing assistance) cluster</w:t>
              </w:r>
            </w:hyperlink>
          </w:p>
          <w:p>
            <w:pPr>
              <w:spacing w:before="0" w:after="0"/>
            </w:pPr>
            <w:r>
              <w:rPr>
                <w:rStyle w:val="row-content"/>
                <w:color w:val="244061"/>
              </w:rPr>
              <w:t xml:space="preserve">       </w:t>
            </w:r>
            <w:hyperlink w:history="true" r:id="R97767c521efd4e82">
              <w:r>
                <w:rPr>
                  <w:rStyle w:val="Hyperlink"/>
                  <w:color w:val="244061"/>
                </w:rPr>
                <w:t xml:space="preserve">Housing assistance</w:t>
              </w:r>
            </w:hyperlink>
            <w:r>
              <w:rPr>
                <w:rStyle w:val="row-content"/>
                <w:color w:val="244061"/>
              </w:rPr>
              <w:t xml:space="preserve">, Superseded 30/08/2017</w:t>
            </w:r>
          </w:p>
          <w:p>
            <w:r>
              <w:br/>
            </w:r>
            <w:hyperlink w:history="true" r:id="Red003d0c17fe458c">
              <w:r>
                <w:rPr>
                  <w:rStyle w:val="Hyperlink"/>
                </w:rPr>
                <w:t xml:space="preserve">Person file cluster (Mainstream community housing)</w:t>
              </w:r>
            </w:hyperlink>
          </w:p>
          <w:p>
            <w:pPr>
              <w:spacing w:before="0" w:after="0"/>
            </w:pPr>
            <w:r>
              <w:rPr>
                <w:rStyle w:val="row-content"/>
                <w:color w:val="244061"/>
              </w:rPr>
              <w:t xml:space="preserve">       </w:t>
            </w:r>
            <w:hyperlink w:history="true" r:id="Rd93fb700b92c475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"9 - Not stated/inadequately described".</w:t>
            </w:r>
            <w:r>
              <w:br/>
            </w:r>
            <w:r>
              <w:br/>
            </w:r>
            <w:hyperlink w:history="true" r:id="R14873078b58243b2">
              <w:r>
                <w:rPr>
                  <w:rStyle w:val="Hyperlink"/>
                </w:rPr>
                <w:t xml:space="preserve">Person file cluster (Mainstream community housing)</w:t>
              </w:r>
            </w:hyperlink>
          </w:p>
          <w:p>
            <w:pPr>
              <w:spacing w:before="0" w:after="0"/>
            </w:pPr>
            <w:r>
              <w:rPr>
                <w:rStyle w:val="row-content"/>
                <w:color w:val="244061"/>
              </w:rPr>
              <w:t xml:space="preserve">       </w:t>
            </w:r>
            <w:hyperlink w:history="true" r:id="R0885ecd61dea414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 = Not stated/inadequately described.</w:t>
            </w:r>
            <w:r>
              <w:br/>
            </w:r>
            <w:r>
              <w:br/>
            </w:r>
            <w:hyperlink w:history="true" r:id="Ra8504322df1641dc">
              <w:r>
                <w:rPr>
                  <w:rStyle w:val="Hyperlink"/>
                </w:rPr>
                <w:t xml:space="preserve">Relationship in household cluster (Indigenous community housing)</w:t>
              </w:r>
            </w:hyperlink>
          </w:p>
          <w:p>
            <w:pPr>
              <w:spacing w:before="0" w:after="0"/>
            </w:pPr>
            <w:r>
              <w:rPr>
                <w:rStyle w:val="row-content"/>
                <w:color w:val="244061"/>
              </w:rPr>
              <w:t xml:space="preserve">       </w:t>
            </w:r>
            <w:hyperlink w:history="true" r:id="R4b770267294a43ad">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5faf85be940c4b42">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w:t>
            </w:r>
            <w:r>
              <w:br/>
            </w:r>
            <w:r>
              <w:br/>
            </w:r>
          </w:p>
        </w:tc>
      </w:tr>
    </w:tbl>
    <w:p/>
    <w:tbl>
      <w:tblPr>
        <w:tblStyle w:val="TableGrid"/>
        <w:tblW w:w="0" w:type="auto"/>
      </w:tblPr>
    </w:tbl>
    <w:p>
      <w:r>
        <w:br/>
      </w:r>
    </w:p>
    <w:sectPr>
      <w:footerReference xmlns:r="http://schemas.openxmlformats.org/officeDocument/2006/relationships" w:type="default" r:id="R5ae6ec126078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456321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387ce04c38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6ec126078459b" /><Relationship Type="http://schemas.openxmlformats.org/officeDocument/2006/relationships/header" Target="/word/header1.xml" Id="R07dee01fcf50466e" /><Relationship Type="http://schemas.openxmlformats.org/officeDocument/2006/relationships/settings" Target="/word/settings.xml" Id="R0e48f7d442374d0e" /><Relationship Type="http://schemas.openxmlformats.org/officeDocument/2006/relationships/styles" Target="/word/styles.xml" Id="R8e9adca3ff254e61" /><Relationship Type="http://schemas.openxmlformats.org/officeDocument/2006/relationships/hyperlink" Target="https://meteor.aihw.gov.au/RegistrationAuthority/11" TargetMode="External" Id="Rc92df0f59ab943ac" /><Relationship Type="http://schemas.openxmlformats.org/officeDocument/2006/relationships/hyperlink" Target="https://meteor.aihw.gov.au/content/456317" TargetMode="External" Id="R420bc48609004290" /><Relationship Type="http://schemas.openxmlformats.org/officeDocument/2006/relationships/hyperlink" Target="https://meteor.aihw.gov.au/content/455827" TargetMode="External" Id="R0142afdcf25949e8" /><Relationship Type="http://schemas.openxmlformats.org/officeDocument/2006/relationships/hyperlink" Target="https://meteor.aihw.gov.au/content/412857" TargetMode="External" Id="R0837ed0b9dbe4dd9" /><Relationship Type="http://schemas.openxmlformats.org/officeDocument/2006/relationships/hyperlink" Target="https://meteor.aihw.gov.au/content/608109" TargetMode="External" Id="Ra54436ada2064338" /><Relationship Type="http://schemas.openxmlformats.org/officeDocument/2006/relationships/hyperlink" Target="https://meteor.aihw.gov.au/RegistrationAuthority/11" TargetMode="External" Id="R6165c36932014037" /><Relationship Type="http://schemas.openxmlformats.org/officeDocument/2006/relationships/hyperlink" Target="https://meteor.aihw.gov.au/content/459133" TargetMode="External" Id="R05f25f10da2d41c0" /><Relationship Type="http://schemas.openxmlformats.org/officeDocument/2006/relationships/hyperlink" Target="https://meteor.aihw.gov.au/RegistrationAuthority/11" TargetMode="External" Id="R97767c521efd4e82" /><Relationship Type="http://schemas.openxmlformats.org/officeDocument/2006/relationships/hyperlink" Target="https://meteor.aihw.gov.au/content/463082" TargetMode="External" Id="Red003d0c17fe458c" /><Relationship Type="http://schemas.openxmlformats.org/officeDocument/2006/relationships/hyperlink" Target="https://meteor.aihw.gov.au/RegistrationAuthority/11" TargetMode="External" Id="Rd93fb700b92c475a" /><Relationship Type="http://schemas.openxmlformats.org/officeDocument/2006/relationships/hyperlink" Target="https://meteor.aihw.gov.au/content/480125" TargetMode="External" Id="R14873078b58243b2" /><Relationship Type="http://schemas.openxmlformats.org/officeDocument/2006/relationships/hyperlink" Target="https://meteor.aihw.gov.au/RegistrationAuthority/11" TargetMode="External" Id="R0885ecd61dea4143" /><Relationship Type="http://schemas.openxmlformats.org/officeDocument/2006/relationships/hyperlink" Target="https://meteor.aihw.gov.au/content/491674" TargetMode="External" Id="Ra8504322df1641dc" /><Relationship Type="http://schemas.openxmlformats.org/officeDocument/2006/relationships/hyperlink" Target="https://meteor.aihw.gov.au/RegistrationAuthority/11" TargetMode="External" Id="R4b770267294a43ad" /><Relationship Type="http://schemas.openxmlformats.org/officeDocument/2006/relationships/hyperlink" Target="https://meteor.aihw.gov.au/RegistrationAuthority/6" TargetMode="External" Id="R5faf85be940c4b42" /></Relationships>
</file>

<file path=word/_rels/header1.xml.rels>&#65279;<?xml version="1.0" encoding="utf-8"?><Relationships xmlns="http://schemas.openxmlformats.org/package/2006/relationships"><Relationship Type="http://schemas.openxmlformats.org/officeDocument/2006/relationships/image" Target="/media/image.png" Id="R25387ce04c384236" /></Relationships>
</file>