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47245149f07f460b" /></Relationships>
</file>

<file path=word/document.xml><?xml version="1.0" encoding="utf-8"?>
<w:document xmlns:r="http://schemas.openxmlformats.org/officeDocument/2006/relationships" xmlns:w="http://schemas.openxmlformats.org/wordprocessingml/2006/main">
  <w:body>
    <w:p>
      <w:pPr>
        <w:pStyle w:val="Title"/>
      </w:pPr>
      <w:r>
        <w:t>Child protection notification—unborn child status,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Child protection notification—unborn child status,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Unborn child status (child protection notification)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Synonymous names:</w:t>
            </w:r>
          </w:p>
        </w:tc>
        <w:tc>
          <w:tcPr>
            <w:tcBorders>
              <w:top w:val="none" w:color="000000" w:sz="0"/>
              <w:left w:val="none" w:color="000000" w:sz="0"/>
              <w:bottom w:val="none" w:color="000000" w:sz="0"/>
              <w:right w:val="none" w:color="000000" w:sz="0"/>
            </w:tcBorders>
            <w:vAlign w:val="top"/>
          </w:tcPr>
          <w:p>
            <w:r>
              <w:t xml:space="preserve">Unborn child flag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455814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2737b59ad7144163">
              <w:r>
                <w:rPr>
                  <w:rStyle w:val="Hyperlink"/>
                  <w:color w:val="244061"/>
                </w:rPr>
                <w:t xml:space="preserve">Community Services (retired)</w:t>
              </w:r>
            </w:hyperlink>
            <w:r>
              <w:rPr>
                <w:rStyle w:val="row-content"/>
                <w:color w:val="244061"/>
              </w:rPr>
              <w:t xml:space="preserve">, Recorded 19/08/2011 [</w:t>
            </w:r>
            <w:r>
              <w:rPr>
                <w:rStyle w:val="row-content"/>
                <w:color w:val="244061"/>
              </w:rPr>
              <w:t xml:space="preserve">Non Dictionary</w:t>
            </w:r>
            <w:r>
              <w:rPr>
                <w:rStyle w:val="row-content"/>
                <w:color w:val="244061"/>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the child was unborn when the notification was made to the Department responsible for child protection,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ea39e65de3514b02">
              <w:r>
                <w:rPr>
                  <w:rStyle w:val="Hyperlink"/>
                </w:rPr>
                <w:t xml:space="preserve">Child protection notification—unborn child status</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c691ae130eab462a">
              <w:r>
                <w:rPr>
                  <w:rStyle w:val="Hyperlink"/>
                </w:rPr>
                <w:t xml:space="preserve">Yes/no/not applicable/not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 should be used if unborn children are not covered by the relevant child protection legislation.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There are cases where the safety of a child is brought to the attention of child protection authorities before that child is born. While s/he is yet to be born, there are considerable concerns about the safety of the child.</w:t>
            </w:r>
          </w:p>
          <w:p>
            <w:pPr/>
            <w:r>
              <w:rPr>
                <w:rStyle w:val="row-content-rich-text"/>
              </w:rPr>
              <w:t xml:space="preserve">This data element is designed to flag that the client is not yet born. This data element may assist with the record linkage processes, and will also provide valuable data on welfare concerns of unborn children.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Performance and Data Working Group</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 (AIHW) 2010. Child protection and support services National Minimum Data Set, data collection manual for the 2010 pilot collection. AIHW: Canberra.</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2a152d8337a442c3">
              <w:r>
                <w:rPr>
                  <w:rStyle w:val="Hyperlink"/>
                </w:rPr>
                <w:t xml:space="preserve">Child protection notification—unborn child status, code N</w:t>
              </w:r>
            </w:hyperlink>
          </w:p>
          <w:p>
            <w:pPr>
              <w:spacing w:before="0" w:after="0"/>
            </w:pPr>
            <w:r>
              <w:rPr>
                <w:rStyle w:val="row-content"/>
                <w:color w:val="244061"/>
              </w:rPr>
              <w:t xml:space="preserve">       </w:t>
            </w:r>
            <w:hyperlink w:history="true" r:id="R1893f76c69774449">
              <w:r>
                <w:rPr>
                  <w:rStyle w:val="Hyperlink"/>
                  <w:color w:val="244061"/>
                </w:rPr>
                <w:t xml:space="preserve">Community Services (retired)</w:t>
              </w:r>
            </w:hyperlink>
            <w:r>
              <w:rPr>
                <w:rStyle w:val="row-content"/>
                <w:color w:val="244061"/>
              </w:rPr>
              <w:t xml:space="preserve">, Standard 30/04/2008</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5beed00c708e4742">
              <w:r>
                <w:rPr>
                  <w:rStyle w:val="Hyperlink"/>
                </w:rPr>
                <w:t xml:space="preserve">Notifications, investigations, and substantiations (NIS) DSS Pilot 2010</w:t>
              </w:r>
            </w:hyperlink>
          </w:p>
          <w:p>
            <w:pPr>
              <w:spacing w:before="0" w:after="0"/>
            </w:pPr>
            <w:r>
              <w:rPr>
                <w:rStyle w:val="row-content"/>
                <w:color w:val="244061"/>
              </w:rPr>
              <w:t xml:space="preserve">       </w:t>
            </w:r>
            <w:hyperlink w:history="true" r:id="R01371cc7ab24420c">
              <w:r>
                <w:rPr>
                  <w:rStyle w:val="Hyperlink"/>
                  <w:color w:val="244061"/>
                </w:rPr>
                <w:t xml:space="preserve">Community Services (retired)</w:t>
              </w:r>
            </w:hyperlink>
            <w:r>
              <w:rPr>
                <w:rStyle w:val="row-content"/>
                <w:color w:val="244061"/>
              </w:rPr>
              <w:t xml:space="preserve">, Recorded 19/08/2011</w:t>
            </w:r>
          </w:p>
          <w:p>
            <w:r>
              <w:br/>
            </w:r>
          </w:p>
        </w:tc>
      </w:tr>
    </w:tbl>
    <w:p/>
    <w:tbl>
      <w:tblPr>
        <w:tblStyle w:val="TableGrid"/>
        <w:tblW w:w="0" w:type="auto"/>
      </w:tblPr>
    </w:tbl>
    <w:p>
      <w:r>
        <w:br/>
      </w:r>
    </w:p>
    <w:sectPr>
      <w:footerReference xmlns:r="http://schemas.openxmlformats.org/officeDocument/2006/relationships" w:type="default" r:id="R46102a4db5294a0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455814</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17714db6c65645e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6102a4db5294a0c" /><Relationship Type="http://schemas.openxmlformats.org/officeDocument/2006/relationships/header" Target="/word/header1.xml" Id="R7b2ac98b3f9c44a6" /><Relationship Type="http://schemas.openxmlformats.org/officeDocument/2006/relationships/settings" Target="/word/settings.xml" Id="Rf869cf7320444fc5" /><Relationship Type="http://schemas.openxmlformats.org/officeDocument/2006/relationships/styles" Target="/word/styles.xml" Id="R96a9248a58d7481c" /><Relationship Type="http://schemas.openxmlformats.org/officeDocument/2006/relationships/hyperlink" Target="https://meteor.aihw.gov.au/RegistrationAuthority/1" TargetMode="External" Id="R2737b59ad7144163" /><Relationship Type="http://schemas.openxmlformats.org/officeDocument/2006/relationships/hyperlink" Target="https://meteor.aihw.gov.au/content/455812" TargetMode="External" Id="Rea39e65de3514b02" /><Relationship Type="http://schemas.openxmlformats.org/officeDocument/2006/relationships/hyperlink" Target="https://meteor.aihw.gov.au/content/464978" TargetMode="External" Id="Rc691ae130eab462a" /><Relationship Type="http://schemas.openxmlformats.org/officeDocument/2006/relationships/hyperlink" Target="https://meteor.aihw.gov.au/content/316517" TargetMode="External" Id="R2a152d8337a442c3" /><Relationship Type="http://schemas.openxmlformats.org/officeDocument/2006/relationships/hyperlink" Target="https://meteor.aihw.gov.au/RegistrationAuthority/1" TargetMode="External" Id="R1893f76c69774449" /><Relationship Type="http://schemas.openxmlformats.org/officeDocument/2006/relationships/hyperlink" Target="https://meteor.aihw.gov.au/content/433700" TargetMode="External" Id="R5beed00c708e4742" /><Relationship Type="http://schemas.openxmlformats.org/officeDocument/2006/relationships/hyperlink" Target="https://meteor.aihw.gov.au/RegistrationAuthority/1" TargetMode="External" Id="R01371cc7ab24420c" /></Relationships>
</file>

<file path=word/_rels/header1.xml.rels>&#65279;<?xml version="1.0" encoding="utf-8"?><Relationships xmlns="http://schemas.openxmlformats.org/package/2006/relationships"><Relationship Type="http://schemas.openxmlformats.org/officeDocument/2006/relationships/image" Target="/media/image.png" Id="R17714db6c65645eb" /></Relationships>
</file>