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b65c3a96a4727"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25bf80ee54f1d">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spacing w:after="160"/>
            </w:pPr>
            <w:r>
              <w:rPr>
                <w:rStyle w:val="row-content-rich-text"/>
              </w:rPr>
              <w:t xml:space="preserve"> 2. Data measuring the potential population is not explicitly available for the required time point and so has been estimated from several difference sources under several key assumptions. The assumption of constant age-sex specific rates of severe/profound core activity limitation over time is not contradicted by historical SDAC data up to 2003. Data are not available to test whether rates have been stable since 2003 but no research has shown a change to the relative stability of age-sex specific disability prevalence. A further assumption that national level age-sex specific rates of severe/profound core activity limitation from the 2003 SDAC apply consistently across states/territories is untested.</w:t>
            </w:r>
            <w:r>
              <w:br/>
            </w:r>
            <w:r>
              <w:rPr>
                <w:rStyle w:val="row-content-rich-text"/>
              </w:rPr>
              <w:t xml:space="preserve"> </w:t>
            </w:r>
          </w:p>
          <w:p>
            <w:pPr/>
            <w:r>
              <w:rPr>
                <w:rStyle w:val="row-content-rich-text"/>
              </w:rPr>
              <w:t xml:space="preserve">3. There are issues with the consistency of the numerator and denominator for this performance indicator, as the numerator and denominator are drawn from differently defined populations and different data sources.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p>
          <w:p>
            <w:r>
              <w:br/>
            </w:r>
            <w:r>
              <w:rPr>
                <w:rStyle w:val="row-content-rich-text"/>
              </w:rPr>
              <w:t xml:space="preserve">For information on the institutional environment of the ABS, including the legislative obligations of the ABS, please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r>
              <w:br/>
            </w:r>
            <w:r>
              <w:rPr>
                <w:rStyle w:val="row-content-rich-text"/>
              </w:rPr>
              <w:t xml:space="preserve">ABS SDAC 2003; Census 2006; Estimated Resident Population at 30 June 2007 and 30 June 2008</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 </w:t>
            </w:r>
          </w:p>
          <w:p>
            <w:pP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 </w:t>
            </w:r>
          </w:p>
          <w:p>
            <w:pPr/>
            <w:r>
              <w:rPr>
                <w:rStyle w:val="row-content-rich-text"/>
              </w:rPr>
              <w:t xml:space="preserve">Supporting information on the quality and use of the CSTDA NMDS are published annually in ‘Disability support services’ available in hard copy or on the AIHW website (&lt;</w:t>
            </w:r>
            <w:hyperlink w:history="true" r:id="R91e650cc56bf4187">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(c). Data used are from the CSTDA NMDS 2007–08 and 2008–09, SDAC 2003, ERP June 2007 and June 2008, and Census 2006. This may reduce the overall accuracy of the estimates. In particular,</w:t>
            </w:r>
          </w:p>
          <w:p>
            <w:r>
              <w:br/>
            </w:r>
            <w:r>
              <w:rPr>
                <w:rStyle w:val="row-content-rich-text"/>
              </w:rPr>
              <w:t xml:space="preserve">• Data from the CSTDA NMDS 2007–08 and 2008–09, ERP June 2007 and June 2008 and Census 2006 cover all geographical areas of Australia, whereas the SDAC 2003 does not cover very remote areas nor Indigenous communities.</w:t>
            </w:r>
            <w:r>
              <w:br/>
            </w:r>
            <w:r>
              <w:rPr>
                <w:rStyle w:val="row-content-rich-text"/>
              </w:rPr>
              <w:t xml:space="preserve">• The use of SDAC 2003 age-sex specific rates of severe/profound core activity limitation to calculate 2007 and 2008 estimates of potential population assumes these rates to be consistent over time. The assumption of constant age-sex specific rates of severe/profound core activity limitation over time is not contradicted by historical SDAC data up to 2003. Data are not available to test whether rates have been stable since 2003 but no research has shown a change to the relative stability of age-sex specific disability prevalence.</w:t>
            </w:r>
            <w:r>
              <w:br/>
            </w:r>
            <w:r>
              <w:rPr>
                <w:rStyle w:val="row-content-rich-text"/>
              </w:rPr>
              <w:t xml:space="preserve">• The use of national level SDAC 2003 age-sex specific rates of severe/profound core activity limitation assumes these rates to be consistent across states/territories. This assumption is untested.</w:t>
            </w:r>
            <w:r>
              <w:br/>
            </w:r>
            <w:r>
              <w:rPr>
                <w:rStyle w:val="row-content-rich-text"/>
              </w:rPr>
              <w:t xml:space="preserve">• Information from Census 2006 about people with need for assistance with core activities is based on the self enumerated completion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 The use of Census 2006 data about country of birth and Remoteness Area distributions for people with need for assistance with core activities assumes these distributions to be consistent over time. This assumption is untested.</w:t>
            </w:r>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w:t>
            </w:r>
          </w:p>
          <w:p>
            <w:pPr/>
            <w:r>
              <w:rPr>
                <w:rStyle w:val="row-content-rich-text"/>
              </w:rPr>
              <w:t xml:space="preserve">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The data item need for assistance has a particularly high not stated/not collected rate. For the 2007–08 data set the rate was 20.3% overall, ranging from 5.3% for Tasmania to 40.2% for Victoria. For the 2008–09 data set the rate was 14.1% overall, ranging from 0.2% for Australian Government agencies to 41.8% for Victorian agencies.</w:t>
            </w:r>
            <w:r>
              <w:br/>
            </w:r>
            <w:r>
              <w:rPr>
                <w:rStyle w:val="row-content-rich-text"/>
              </w:rPr>
              <w:t xml:space="preserve">For general issues relating to the CSTDA NMDS, refer to the CSTDA NMDS Data Quality Statement.</w:t>
            </w:r>
          </w:p>
          <w:p>
            <w:r>
              <w:br/>
            </w:r>
            <w:r>
              <w:rPr>
                <w:rStyle w:val="row-content-rich-text"/>
              </w:rPr>
              <w:t xml:space="preserve">Being a sample survey, estimates from the SDAC 2003 are subject to sampling variability. A measure of the sampling variability, the relative standard error (RSE) percent, is estimated below for the age-sex specific rates of severe/profound core activity limitation.</w:t>
            </w:r>
            <w:r>
              <w:br/>
            </w:r>
            <w:r>
              <w:rPr>
                <w:rStyle w:val="row-content-rich-text"/>
              </w:rPr>
              <w:t xml:space="preserve">Estimated RSE for age-sex rates of severe/profound core activity limitation at national level (percent)</w:t>
            </w:r>
          </w:p>
          <w:p>
            <w:r>
              <w:br/>
            </w:r>
            <w:r>
              <w:rPr>
                <w:rStyle w:val="row-content-rich-text"/>
              </w:rPr>
              <w:t xml:space="preserve">Age group (years) Male Female</w:t>
            </w:r>
            <w:r>
              <w:br/>
            </w:r>
            <w:r>
              <w:rPr>
                <w:rStyle w:val="row-content-rich-text"/>
              </w:rPr>
              <w:t xml:space="preserve">0-4 13.5 22.3</w:t>
            </w:r>
            <w:r>
              <w:br/>
            </w:r>
            <w:r>
              <w:rPr>
                <w:rStyle w:val="row-content-rich-text"/>
              </w:rPr>
              <w:t xml:space="preserve">5-14 9.8 12.3</w:t>
            </w:r>
            <w:r>
              <w:br/>
            </w:r>
            <w:r>
              <w:rPr>
                <w:rStyle w:val="row-content-rich-text"/>
              </w:rPr>
              <w:t xml:space="preserve">15-24 15.7 15.9</w:t>
            </w:r>
            <w:r>
              <w:br/>
            </w:r>
            <w:r>
              <w:rPr>
                <w:rStyle w:val="row-content-rich-text"/>
              </w:rPr>
              <w:t xml:space="preserve">25-34 14.6 12.0</w:t>
            </w:r>
            <w:r>
              <w:br/>
            </w:r>
            <w:r>
              <w:rPr>
                <w:rStyle w:val="row-content-rich-text"/>
              </w:rPr>
              <w:t xml:space="preserve">35-44 11.8 11.4</w:t>
            </w:r>
            <w:r>
              <w:br/>
            </w:r>
            <w:r>
              <w:rPr>
                <w:rStyle w:val="row-content-rich-text"/>
              </w:rPr>
              <w:t xml:space="preserve">45-54 9.8 9.2</w:t>
            </w:r>
            <w:r>
              <w:br/>
            </w:r>
            <w:r>
              <w:rPr>
                <w:rStyle w:val="row-content-rich-text"/>
              </w:rPr>
              <w:t xml:space="preserve">55-64 9.6 7.3</w:t>
            </w:r>
          </w:p>
          <w:p>
            <w:r>
              <w:br/>
            </w:r>
            <w:r>
              <w:rPr>
                <w:rStyle w:val="row-content-rich-text"/>
              </w:rPr>
              <w:t xml:space="preserve">Source: AIHW analysis of SDAC 2003 CURF</w:t>
            </w:r>
          </w:p>
          <w:p>
            <w:r>
              <w:br/>
            </w:r>
            <w:r>
              <w:rPr>
                <w:rStyle w:val="row-content-rich-text"/>
              </w:rP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ABS website.</w:t>
            </w:r>
          </w:p>
          <w:p>
            <w:r>
              <w:br/>
            </w:r>
            <w:r>
              <w:rPr>
                <w:rStyle w:val="row-content-rich-text"/>
              </w:rPr>
              <w:t xml:space="preserve">See also ABS data quality statements.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CSTDA NMDS, refer to the CSTDA NMDS Data Quality Statement.</w:t>
            </w:r>
          </w:p>
          <w:p>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w:t>
            </w:r>
          </w:p>
          <w:p>
            <w:r>
              <w:br/>
            </w:r>
            <w:r>
              <w:rPr>
                <w:rStyle w:val="row-content-rich-text"/>
              </w:rPr>
              <w:t xml:space="preserve">While the numerator is taken from the CSTDA NMDS, the denominator is an estimate derived from SDAC, ERP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r>
              <w:br/>
            </w:r>
            <w:r>
              <w:rPr>
                <w:rStyle w:val="row-content-rich-text"/>
              </w:rPr>
              <w:t xml:space="preserve">For the calculation of potential population for the denominator, the method used to calculate the country of birth and remoteness disaggregations is the same as that adopted by the Disability Services Working Group for calculation of special needs group indicators in the Report on Government Services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9826f7302344b4">
              <w:r>
                <w:rPr>
                  <w:rStyle w:val="Hyperlink"/>
                </w:rPr>
                <w:t xml:space="preserve">National Disability Agreement: (c)-Proportion of the potential population accessing disability services, 2012 QS</w:t>
              </w:r>
            </w:hyperlink>
          </w:p>
          <w:p>
            <w:pPr>
              <w:spacing w:before="0" w:after="0"/>
            </w:pPr>
            <w:r>
              <w:rPr>
                <w:rStyle w:val="row-content"/>
                <w:color w:val="244061"/>
              </w:rPr>
              <w:t xml:space="preserve">       </w:t>
            </w:r>
            <w:hyperlink w:history="true" r:id="R6b73e6d487754aa3">
              <w:r>
                <w:rPr>
                  <w:rStyle w:val="Hyperlink"/>
                  <w:color w:val="244061"/>
                </w:rPr>
                <w:t xml:space="preserve">Community Services (retired)</w:t>
              </w:r>
            </w:hyperlink>
            <w:r>
              <w:rPr>
                <w:rStyle w:val="row-content"/>
                <w:color w:val="244061"/>
              </w:rPr>
              <w:t xml:space="preserve">, Standard 05/03/2012</w:t>
            </w:r>
          </w:p>
          <w:p>
            <w:r>
              <w:br/>
            </w:r>
            <w:r>
              <w:rPr>
                <w:rStyle w:val="row-content"/>
              </w:rPr>
              <w:t xml:space="preserve">Has been superseded by </w:t>
            </w:r>
            <w:hyperlink w:history="true" r:id="Rabd5c43ceb2a464d">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dfc982c5482240d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c08b327231c4fe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f7b7b58ade34705">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caaae9eb9aef4568">
              <w:r>
                <w:rPr>
                  <w:rStyle w:val="Hyperlink"/>
                  <w:color w:val="244061"/>
                </w:rPr>
                <w:t xml:space="preserve">Community Services (retired)</w:t>
              </w:r>
            </w:hyperlink>
            <w:r>
              <w:rPr>
                <w:rStyle w:val="row-content"/>
                <w:color w:val="244061"/>
              </w:rPr>
              <w:t xml:space="preserve">, Superseded 05/03/2012</w:t>
            </w:r>
          </w:p>
          <w:p>
            <w:r>
              <w:br/>
            </w:r>
            <w:hyperlink w:history="true" r:id="R4f716032fc2a4978">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b19bdace449e456e">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222c01cdadee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453549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18fdedda7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c01cdadee4634" /><Relationship Type="http://schemas.openxmlformats.org/officeDocument/2006/relationships/header" Target="/word/header1.xml" Id="R7b91a6344bb24f10" /><Relationship Type="http://schemas.openxmlformats.org/officeDocument/2006/relationships/settings" Target="/word/settings.xml" Id="Ra49543651e964a34" /><Relationship Type="http://schemas.openxmlformats.org/officeDocument/2006/relationships/styles" Target="/word/styles.xml" Id="Ra34e17e5652e4531" /><Relationship Type="http://schemas.openxmlformats.org/officeDocument/2006/relationships/hyperlink" Target="https://meteor.aihw.gov.au/RegistrationAuthority/1" TargetMode="External" Id="Rc4625bf80ee54f1d" /><Relationship Type="http://schemas.openxmlformats.org/officeDocument/2006/relationships/hyperlink" Target="http://www.aihw.gov.au" TargetMode="External" Id="R91e650cc56bf4187" /><Relationship Type="http://schemas.openxmlformats.org/officeDocument/2006/relationships/hyperlink" Target="https://meteor.aihw.gov.au/content/478373" TargetMode="External" Id="R169826f7302344b4" /><Relationship Type="http://schemas.openxmlformats.org/officeDocument/2006/relationships/hyperlink" Target="https://meteor.aihw.gov.au/RegistrationAuthority/1" TargetMode="External" Id="R6b73e6d487754aa3" /><Relationship Type="http://schemas.openxmlformats.org/officeDocument/2006/relationships/hyperlink" Target="https://meteor.aihw.gov.au/content/561598" TargetMode="External" Id="Rabd5c43ceb2a464d" /><Relationship Type="http://schemas.openxmlformats.org/officeDocument/2006/relationships/hyperlink" Target="https://meteor.aihw.gov.au/RegistrationAuthority/1" TargetMode="External" Id="Rdfc982c5482240d5" /><Relationship Type="http://schemas.openxmlformats.org/officeDocument/2006/relationships/hyperlink" Target="https://meteor.aihw.gov.au/RegistrationAuthority/16" TargetMode="External" Id="Rbc08b327231c4fe1" /><Relationship Type="http://schemas.openxmlformats.org/officeDocument/2006/relationships/hyperlink" Target="https://meteor.aihw.gov.au/content/428740" TargetMode="External" Id="R8f7b7b58ade34705" /><Relationship Type="http://schemas.openxmlformats.org/officeDocument/2006/relationships/hyperlink" Target="https://meteor.aihw.gov.au/RegistrationAuthority/1" TargetMode="External" Id="Rcaaae9eb9aef4568" /><Relationship Type="http://schemas.openxmlformats.org/officeDocument/2006/relationships/hyperlink" Target="https://meteor.aihw.gov.au/content/446909" TargetMode="External" Id="R4f716032fc2a4978" /><Relationship Type="http://schemas.openxmlformats.org/officeDocument/2006/relationships/hyperlink" Target="https://meteor.aihw.gov.au/RegistrationAuthority/1" TargetMode="External" Id="Rb19bdace449e456e" /></Relationships>
</file>

<file path=word/_rels/header1.xml.rels>&#65279;<?xml version="1.0" encoding="utf-8"?><Relationships xmlns="http://schemas.openxmlformats.org/package/2006/relationships"><Relationship Type="http://schemas.openxmlformats.org/officeDocument/2006/relationships/image" Target="/media/image.png" Id="Rf9918fdedda744f6" /></Relationships>
</file>