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5bd59461344358" /></Relationships>
</file>

<file path=word/document.xml><?xml version="1.0" encoding="utf-8"?>
<w:document xmlns:r="http://schemas.openxmlformats.org/officeDocument/2006/relationships" xmlns:w="http://schemas.openxmlformats.org/wordprocessingml/2006/main">
  <w:body>
    <w:p>
      <w:pPr>
        <w:pStyle w:val="Title"/>
      </w:pPr>
      <w:r>
        <w:t>Household—gross income (annual), dollar range code N jane11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dollar range code N jane11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89dfc9ff54e37">
              <w:r>
                <w:rPr>
                  <w:rStyle w:val="Hyperlink"/>
                  <w:color w:val="244061"/>
                </w:rPr>
                <w:t xml:space="preserve">Community Services (retired)</w:t>
              </w:r>
            </w:hyperlink>
            <w:r>
              <w:rPr>
                <w:rStyle w:val="row-content"/>
                <w:color w:val="244061"/>
              </w:rPr>
              <w:t xml:space="preserve">, Recorded 18/07/2011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ranges are used as an indicator of the economic status of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de2ef75d104735">
              <w:r>
                <w:rPr>
                  <w:rStyle w:val="Hyperlink"/>
                </w:rPr>
                <w:t xml:space="preserve">Dollar range,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Please note that this data element is not consistent with the ABS standards for cash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ABS website Statistical Standards/Standards for Social, Labour and Demographic Variables/Cash Income Variables:</w:t>
            </w:r>
          </w:p>
          <w:p>
            <w:hyperlink w:history="true" r:id="Ra60d06cf08a243e3">
              <w:r>
                <w:rPr>
                  <w:rStyle w:val="Hyperlink"/>
                </w:rPr>
                <w:t xml:space="preserve">1200.0 - Standards for Social, Labour and Demographic Variables, 1999</w:t>
              </w:r>
            </w:hyperlink>
          </w:p>
          <w:p>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fe1c9583aec1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65be6053c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c9583aec144db" /><Relationship Type="http://schemas.openxmlformats.org/officeDocument/2006/relationships/header" Target="/word/header1.xml" Id="Reaa3d7c9c61a4dbf" /><Relationship Type="http://schemas.openxmlformats.org/officeDocument/2006/relationships/settings" Target="/word/settings.xml" Id="R6a9e173943a74197" /><Relationship Type="http://schemas.openxmlformats.org/officeDocument/2006/relationships/styles" Target="/word/styles.xml" Id="R1a593713a6724e1b" /><Relationship Type="http://schemas.openxmlformats.org/officeDocument/2006/relationships/numbering" Target="/word/numbering.xml" Id="R8c4c1831f81748b5" /><Relationship Type="http://schemas.openxmlformats.org/officeDocument/2006/relationships/hyperlink" Target="https://meteor.aihw.gov.au/RegistrationAuthority/1" TargetMode="External" Id="R23889dfc9ff54e37" /><Relationship Type="http://schemas.openxmlformats.org/officeDocument/2006/relationships/hyperlink" Target="https://meteor.aihw.gov.au/content/290706" TargetMode="External" Id="R20de2ef75d104735" /><Relationship Type="http://schemas.openxmlformats.org/officeDocument/2006/relationships/hyperlink" Target="http://www.abs.gov.au/AUSSTATS/abs@.nsf/DirClassManualsbyCatalogue/76CD93AA32E74B29CA25713E0005A2EA?OpenDocument" TargetMode="External" Id="Ra60d06cf08a243e3" /></Relationships>
</file>

<file path=word/_rels/header1.xml.rels>&#65279;<?xml version="1.0" encoding="utf-8"?><Relationships xmlns="http://schemas.openxmlformats.org/package/2006/relationships"><Relationship Type="http://schemas.openxmlformats.org/officeDocument/2006/relationships/image" Target="/media/image.png" Id="R0c265be6053c4c70" /></Relationships>
</file>