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4a49a85c5a45db" /></Relationships>
</file>

<file path=word/document.xml><?xml version="1.0" encoding="utf-8"?>
<w:document xmlns:r="http://schemas.openxmlformats.org/officeDocument/2006/relationships" xmlns:w="http://schemas.openxmlformats.org/wordprocessingml/2006/main">
  <w:body>
    <w:p>
      <w:pPr>
        <w:pStyle w:val="Title"/>
      </w:pPr>
      <w:r>
        <w:t>ABS birth registration data, 2008 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birth registration data, 2008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f0ac8b12b94fc5">
              <w:r>
                <w:rPr>
                  <w:rStyle w:val="Hyperlink"/>
                  <w:color w:val="244061"/>
                </w:rPr>
                <w:t xml:space="preserve">Health</w:t>
              </w:r>
            </w:hyperlink>
            <w:r>
              <w:rPr>
                <w:rStyle w:val="row-content"/>
                <w:color w:val="244061"/>
              </w:rPr>
              <w:t xml:space="preserve">, Standard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collection is conducted under the Census and Statistics Act 1905. For information on the institutional environment of the ABS, including the legislative obligations of the ABS, financing and governance arrangements, and mechanisms for scrutiny of ABS operations, see </w:t>
            </w:r>
          </w:p>
          <w:p>
            <w:hyperlink w:history="true" r:id="R9b7d000e98854f5e">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records are provided electronically to the ABS by individual Registrars on a monthly basis for compilation into aggregate statistics on a quarterly and annual basis. </w:t>
            </w:r>
          </w:p>
          <w:p>
            <w:pPr>
              <w:spacing w:after="160"/>
            </w:pPr>
            <w:r>
              <w:rPr>
                <w:rStyle w:val="row-content-rich-text"/>
              </w:rPr>
              <w:t xml:space="preserve">Quarterly estimates of births on a preliminary basis are published five to six months after the reference period in Australian Demographic Statistics (cat. no. 3101.0), and revised 21 months after the end of each financial year. Annual estimates on a year of registration basis are published within ten months of the end of the reference year in Births, Australia (cat. no. 3301.0).</w:t>
            </w:r>
          </w:p>
          <w:p>
            <w:pPr/>
            <w:r>
              <w:rPr>
                <w:rStyle w:val="row-content-rich-text"/>
              </w:rPr>
              <w:t xml:space="preserve">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Births data are available in a variety of formats on the ABS website under the 3301.0 product family. Further information on births and fertility may be available on request. The ABS observes strict confidentiality protocols as required by the Census and Statistics Act (1905). This may restrict access to data at a very detailed level which is sought by some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statistics are generally straightforward and easy to interpret. It should be noted, however, that changes in numbers of births over time can be due to two factors: changes in fertility, and changes in the number of women in child-bearing ages. For this reason, births data need to be considered in relation to the size of the relevant population(s) through the use of fertility rates.</w:t>
            </w:r>
          </w:p>
          <w:p>
            <w:pPr/>
            <w:r>
              <w:rPr>
                <w:rStyle w:val="row-content-rich-text"/>
              </w:rPr>
              <w:t xml:space="preserve">Another aspect that may be overlooked is plurality, or the fact that each birth of a multiple birth is counted individually in births data. Confinement statistics remove the effect of plurality and are used when analysing characteristics of the mother or father; for example, for calculating median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 statistics are one of the components in the production of estimates of natural increase (the difference between numbers of births and deaths) used as a component of population change in the calculation of population estimates of Australia and the states and territories. The primary uses of population estimates are in the determination of seats in the House of Representatives for each State and Territory, as well as in the distribution of Australian Government funds to state, territory and local governments. Population estimates are also used for a wide range of government, business and community decisions, both directly and indirectly, by contributing to a range of other social and economic indicators.</w:t>
            </w:r>
          </w:p>
          <w:p>
            <w:pPr/>
            <w:r>
              <w:rPr>
                <w:rStyle w:val="row-content-rich-text"/>
              </w:rPr>
              <w:t xml:space="preserve">Birth statistics are also essential in the analysis of fertility in Australia, and inform on the population's ability to reproduce itself. Trends in fertility are used in the development of assumptions on future levels of fertility for population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is obtained from a complete enumeration of births registered during a specified period and are not subject to sampling error. However, births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spacing w:after="160"/>
            </w:pPr>
            <w:r>
              <w:rPr>
                <w:rStyle w:val="row-content-rich-text"/>
              </w:rPr>
              <w:t xml:space="preserve">·   completeness of an individual record at a given point in time;</w:t>
            </w:r>
          </w:p>
          <w:p>
            <w:pPr>
              <w:spacing w:after="160"/>
            </w:pPr>
            <w:r>
              <w:rPr>
                <w:rStyle w:val="row-content-rich-text"/>
              </w:rPr>
              <w:t xml:space="preserve">·   completeness of the dataset (eg impact of registration lags, processing lags and duplicate records);</w:t>
            </w:r>
          </w:p>
          <w:p>
            <w:pPr>
              <w:spacing w:after="160"/>
            </w:pPr>
            <w:r>
              <w:rPr>
                <w:rStyle w:val="row-content-rich-text"/>
              </w:rPr>
              <w:t xml:space="preserve">·   extent of coverage of the population (whilst all births are legally required to be registered, some cases may not be registered for an extended time, if at all); and</w:t>
            </w:r>
          </w:p>
          <w:p>
            <w:pPr>
              <w:spacing w:after="160"/>
            </w:pPr>
            <w:r>
              <w:rPr>
                <w:rStyle w:val="row-content-rich-text"/>
              </w:rPr>
              <w:t xml:space="preserve">·   lack of consistency in the application of questions or forms used by data providers, both through time and between different jurisdictions.</w:t>
            </w:r>
          </w:p>
          <w:p>
            <w:pPr/>
            <w:r>
              <w:rPr>
                <w:rStyle w:val="row-content-rich-text"/>
              </w:rPr>
              <w:t xml:space="preserve">Every effort is made to minimise error by working closely with data providers, the careful design of forms, training of processing staff, and efficient data processing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standards and recommendations for the definition and scope of birth statistics in a vital statistics system are set out in the Principles and Recommendations for a Vital Statistics System Revision 2, published by the United Nations Statistical Division (UNSD). Consistent with the UNSD recommendations, the ABS defines a birth as the complete expulsion or extraction from its mother of a product of conception, irrespective of the duration of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In addition, the UNSD recommends that the births to be counted include all births "occurring in every geographic area and in every population group comprising the national area". For the purposes of Australia, this includes all births occurring within Australia as defined by the Australian Standard Geographical Classification (ASGC) that applies at the time.</w:t>
            </w:r>
          </w:p>
          <w:p>
            <w:pPr>
              <w:spacing w:after="160"/>
            </w:pPr>
            <w:r>
              <w:rPr>
                <w:rStyle w:val="row-content-rich-text"/>
              </w:rPr>
              <w:t xml:space="preserve">Registration of births is compulsory in Australia under relevant State/Territory legislation. However, each State/Territory Registrar has its own birth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pPr>
              <w:spacing w:after="160"/>
            </w:pPr>
            <w:r>
              <w:rPr>
                <w:rStyle w:val="row-content-rich-text"/>
              </w:rPr>
              <w:t xml:space="preserve">Use of supporting documentation released with Births, Australia (cat. no. 3301.0) is important for assessing coherence within the dataset and when comparing statistics with data from other sources. Changing business rules over time and/or across State/Territory registries can affect consistency and hence interpretability of statistical output. Explanatory Notes in each issue contains information pertinent to that release which may impact on comparison over time.</w:t>
            </w:r>
          </w:p>
          <w:p>
            <w:pPr/>
            <w:r>
              <w:rPr>
                <w:rStyle w:val="row-content-rich-text"/>
              </w:rPr>
              <w:t xml:space="preserve">Birth registrations data are not the only statistical series on births in Australia. The National Perinatal Data Collection (NPDC) is a national collection on pregnancy and childbirth, based on births reported to the Perinatal Data Collection in each State and Territory in Australia. Midwives and other health professionals who attend births complete notification forms for each birth, using information obtained from mothers and hospital or other records. This information is compiled and published annually by the National Perinatal Statistics Unit (NPSU) of the Australian Institute of Health and Welfare (AIHW) in Australia's Mothers and Babies. As information from these two collections are from different sources, the statistics obtained vary. The number of births in the Perinatal Data Collection are generally greater, which may reflect the likelihood of parent(s) to delay or fail to register the birth of a child.</w:t>
            </w:r>
          </w:p>
        </w:tc>
      </w:tr>
    </w:tbl>
    <w:p>
      <w:r>
        <w:br/>
      </w:r>
    </w:p>
    <w:sectPr>
      <w:footerReference xmlns:r="http://schemas.openxmlformats.org/officeDocument/2006/relationships" w:type="default" r:id="R56cbaa86ae4c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449204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a6ed2b9e546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baa86ae4c47c7" /><Relationship Type="http://schemas.openxmlformats.org/officeDocument/2006/relationships/header" Target="/word/header1.xml" Id="R542f03c10e8e477a" /><Relationship Type="http://schemas.openxmlformats.org/officeDocument/2006/relationships/settings" Target="/word/settings.xml" Id="R59f0fb7a1b354ebb" /><Relationship Type="http://schemas.openxmlformats.org/officeDocument/2006/relationships/styles" Target="/word/styles.xml" Id="Rca153f48489e4187" /><Relationship Type="http://schemas.openxmlformats.org/officeDocument/2006/relationships/hyperlink" Target="https://meteor.aihw.gov.au/RegistrationAuthority/12" TargetMode="External" Id="Rebf0ac8b12b94fc5" /><Relationship Type="http://schemas.openxmlformats.org/officeDocument/2006/relationships/hyperlink" Target="http://www.abs.gov.au/websitedbs/d3310114.nsf/4a256353001af3ed4b2562bb00121564/10ca14cb967e5b83ca2573ae00197b65!OpenDocument" TargetMode="External" Id="R9b7d000e98854f5e" /></Relationships>
</file>

<file path=word/_rels/header1.xml.rels>&#65279;<?xml version="1.0" encoding="utf-8"?><Relationships xmlns="http://schemas.openxmlformats.org/package/2006/relationships"><Relationship Type="http://schemas.openxmlformats.org/officeDocument/2006/relationships/image" Target="/media/image.png" Id="R5b9a6ed2b9e54630" /></Relationships>
</file>