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f1dbd1cbe4a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7cd3b2c314b70">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 Results of the surveys are estimates because the raw data have undergone imputation and weighting to adjust for non response. It should be noted that any of these adjustments may have introduced some bias in the final survey data and any bias is likely to become more pronounced as response rates decline.</w:t>
            </w:r>
            <w:r>
              <w:br/>
            </w:r>
            <w:r>
              <w:rPr>
                <w:rStyle w:val="row-content-rich-text"/>
              </w:rPr>
              <w:t xml:space="preserve">· Care should be taken when drawing conclusions about the size of the differences between estimates.</w:t>
            </w:r>
            <w:r>
              <w:br/>
            </w:r>
            <w:r>
              <w:rPr>
                <w:rStyle w:val="row-content-rich-text"/>
              </w:rPr>
              <w:t xml:space="preserve">· Care is also advised with State and Territory comparisons because of low response rates in some jurisdictions.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State and Territory health authorities. The survey questionnaire is administered by the relevant registration boards in each jurisdiction as part of the registration renewal process. Under agreement with AHMAC’s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2007 and 2008 calendar years. The reference periods for the indicator data from the Nursing and Midwifery Labour Force Survey are the 2007 and 2008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spacing w:after="160"/>
            </w:pPr>
            <w:r>
              <w:rPr>
                <w:rStyle w:val="row-content-rich-text"/>
              </w:rPr>
              <w:t xml:space="preserve">·   Medical Labour Force Survey reports with associated Excel tables.</w:t>
            </w:r>
          </w:p>
          <w:p>
            <w:pPr>
              <w:spacing w:after="160"/>
            </w:pPr>
            <w:r>
              <w:rPr>
                <w:rStyle w:val="row-content-rich-text"/>
              </w:rPr>
              <w:t xml:space="preserve">·   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Labour Force Surveys and the Nursing and Midwifery Labour Force Surveys is contained in the published reports and supplementary Excel tables for each, including collection method, scope and coverage, survey response, imputation and weighting procedures. 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and the Nursing and Midwifery Labour Force. The two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rates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 average hours worked) ÷ the hours in a standard working week for each profession. For the indicator reporting, the standard working week for medical practitioners is 40 hours and the standard for nurses/midwives is 38 hours. The clinician/non-clinician disaggregation is based on work activity of main job.</w:t>
            </w:r>
          </w:p>
          <w:p>
            <w:pPr/>
            <w:r>
              <w:rPr>
                <w:rStyle w:val="row-content-rich-text"/>
              </w:rPr>
              <w:t xml:space="preserve">Postcode information was collected, although for the indicator reporting, its quality does not support disaggregation by variables based on postcode. Data disaggregation by the Socio-Economic Indexes for Areas (SEIFA) and AGSC Remoteness Areas is to be assessed for possible inclusion in future indicator reporting, pending further investigation into the quality of postcode information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whose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For the medical survey, practitioners with conditional registration have not always been included.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Labour Force Survey was 69.9 per cent in 2007 and 68.7 per cent in 2008. The national response rate for the Nursing and Midwifery Labour Force Survey was 49.6 per cent in 2007 and 46.6 per cent in 2008.</w:t>
            </w:r>
          </w:p>
          <w:p>
            <w:pPr>
              <w:spacing w:after="160"/>
            </w:pPr>
            <w:r>
              <w:rPr>
                <w:rStyle w:val="row-content-rich-text"/>
              </w:rPr>
              <w:t xml:space="preserve">The data have undergone imputation for item non response and weighting to adjust for population non response. It should be noted that both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 As a result, the following should be noted when comparing State and Territory indicator data from both surveys:</w:t>
            </w:r>
          </w:p>
          <w:p>
            <w:pPr>
              <w:spacing w:after="160"/>
            </w:pPr>
            <w:r>
              <w:rPr>
                <w:rStyle w:val="row-content-rich-text"/>
              </w:rPr>
              <w:t xml:space="preserve">Medical Labour Force Survey</w:t>
            </w:r>
          </w:p>
          <w:p>
            <w:pPr>
              <w:spacing w:after="160"/>
            </w:pPr>
            <w:r>
              <w:rPr>
                <w:rStyle w:val="row-content-rich-text"/>
              </w:rPr>
              <w:t xml:space="preserve">·   In 2007 and 2008, NSW registration numbers were based on financial general registrants, conditionally registered specialists, limited prescribing and referring and non-practising medical practitioners only, resulting in an underestimate of the total number of practitioners in that state.</w:t>
            </w:r>
          </w:p>
          <w:p>
            <w:pPr>
              <w:spacing w:after="160"/>
            </w:pPr>
            <w:r>
              <w:rPr>
                <w:rStyle w:val="row-content-rich-text"/>
              </w:rPr>
              <w:t xml:space="preserve">·   In 2007 and 2008, the Queensland registration numbers did not include all conditionally registered medical practitioners, resulting in an underestimate of the total number of practitioners.</w:t>
            </w:r>
          </w:p>
          <w:p>
            <w:pPr>
              <w:spacing w:after="160"/>
            </w:pPr>
            <w:r>
              <w:rPr>
                <w:rStyle w:val="row-content-rich-text"/>
              </w:rPr>
              <w:t xml:space="preserve">·   For WA, the 2008 benchmark used was the total number of registered practitioners in 2008 using 2007 age-by-sex proportions. For WA in 2007 and 2008, the benchmark data was inflated by an unknown number of registered medical practitioners that are no longer active in the workforce. It is also unknown how significantly past years have been affected.</w:t>
            </w:r>
          </w:p>
          <w:p>
            <w:pPr>
              <w:spacing w:after="160"/>
            </w:pPr>
            <w:r>
              <w:rPr>
                <w:rStyle w:val="row-content-rich-text"/>
              </w:rPr>
              <w:t xml:space="preserve">·   In 2007 and 2008, Tasmanian registration numbers were based on general registrants, conditionally registered specialists and non-practising practitioners only, resulting in an underestimate of the total number of practitioners.</w:t>
            </w:r>
          </w:p>
          <w:p>
            <w:pPr>
              <w:spacing w:after="160"/>
            </w:pPr>
            <w:r>
              <w:rPr>
                <w:rStyle w:val="row-content-rich-text"/>
              </w:rPr>
              <w:t xml:space="preserve">Nursing and Midwifery Labour Force Survey</w:t>
            </w:r>
          </w:p>
          <w:p>
            <w:pPr>
              <w:spacing w:after="160"/>
            </w:pPr>
            <w:r>
              <w:rPr>
                <w:rStyle w:val="row-content-rich-text"/>
              </w:rPr>
              <w:t xml:space="preserve">·   For 2007, State and Territory estimates should be treated with caution due to low response rates in some jurisdictions, particularly Victoria (39.9 per cent). Queensland (33.9 per cent), Western Australia (36.7 per cent) and the Northern Territory (28.7 per cent).</w:t>
            </w:r>
          </w:p>
          <w:p>
            <w:pPr>
              <w:spacing w:after="160"/>
            </w:pPr>
            <w:r>
              <w:rPr>
                <w:rStyle w:val="row-content-rich-text"/>
              </w:rPr>
              <w:t xml:space="preserve">·   Western Australian data for nurses and midwives has been suppressed in indicator NHA Table 65.2 — Net growth in health workforce, by clinical/non-clinical status due to concerns regarding interaction between clinical status data quality and the low response rate.</w:t>
            </w:r>
          </w:p>
          <w:p>
            <w:pPr>
              <w:spacing w:after="160"/>
            </w:pPr>
            <w:r>
              <w:rPr>
                <w:rStyle w:val="row-content-rich-text"/>
              </w:rPr>
              <w:t xml:space="preserve">·   For 2008, State and Territory estimates should be treated with caution due to low response rates in some jurisdictions, particularly Victoria (33.3 per cent). Queensland (32.9 per cent), WA (34.4 per cent) and NT (24.9 per cent). In 2008, Victorian data was affected by large numbers of online survey records being unusable for technical reasons.</w:t>
            </w:r>
          </w:p>
          <w:p>
            <w:pPr>
              <w:spacing w:after="160"/>
            </w:pPr>
            <w:r>
              <w:rPr>
                <w:rStyle w:val="row-content-rich-text"/>
              </w:rPr>
              <w:t xml:space="preserve">·   Due to concerns regarding interaction between clinical status, data quality and the low response rate the growth rates for the ACT should be treated with caution.</w:t>
            </w:r>
          </w:p>
          <w:p>
            <w:pPr/>
            <w:r>
              <w:rPr>
                <w:rStyle w:val="row-content-rich-text"/>
              </w:rPr>
              <w:t xml:space="preserve">As a result of the estimation process used for non-response, numbers of medical practitioners or nurses/midwives may have been in fractions, but were rounded to whole numbers for publication. The FTE calculation for medical practitioners and nurses/midwives is based on rounded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2007 and 2008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7f4e74fbfa4e8b">
              <w:r>
                <w:rPr>
                  <w:rStyle w:val="Hyperlink"/>
                </w:rPr>
                <w:t xml:space="preserve">National Healthcare Agreement: P65-Net growth in health workforce, 2010 QS</w:t>
              </w:r>
            </w:hyperlink>
          </w:p>
          <w:p>
            <w:pPr>
              <w:spacing w:before="0" w:after="0"/>
            </w:pPr>
            <w:r>
              <w:rPr>
                <w:rStyle w:val="row-content"/>
                <w:color w:val="244061"/>
              </w:rPr>
              <w:t xml:space="preserve">       </w:t>
            </w:r>
            <w:hyperlink w:history="true" r:id="Rc02d9f646ffc4daf">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30c647b1d2b41fe">
              <w:r>
                <w:rPr>
                  <w:rStyle w:val="Hyperlink"/>
                </w:rPr>
                <w:t xml:space="preserve">National Healthcare Agreement: PI 65-Net growth in health workforce, 2012 QS</w:t>
              </w:r>
            </w:hyperlink>
          </w:p>
          <w:p>
            <w:pPr>
              <w:spacing w:before="0" w:after="0"/>
            </w:pPr>
            <w:r>
              <w:rPr>
                <w:rStyle w:val="row-content"/>
                <w:color w:val="244061"/>
              </w:rPr>
              <w:t xml:space="preserve">       </w:t>
            </w:r>
            <w:hyperlink w:history="true" r:id="R2f27eee8645e4d0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52dedad8834538">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1dde985e46e843b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211179866dc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449083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253b97b054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1179866dc49bc" /><Relationship Type="http://schemas.openxmlformats.org/officeDocument/2006/relationships/header" Target="/word/header1.xml" Id="Rd5d8339515e54a01" /><Relationship Type="http://schemas.openxmlformats.org/officeDocument/2006/relationships/settings" Target="/word/settings.xml" Id="Rd12656ded47b4387" /><Relationship Type="http://schemas.openxmlformats.org/officeDocument/2006/relationships/styles" Target="/word/styles.xml" Id="R84eb8ef0fdf8429e" /><Relationship Type="http://schemas.openxmlformats.org/officeDocument/2006/relationships/hyperlink" Target="https://meteor.aihw.gov.au/RegistrationAuthority/12" TargetMode="External" Id="Ra197cd3b2c314b70" /><Relationship Type="http://schemas.openxmlformats.org/officeDocument/2006/relationships/hyperlink" Target="https://meteor.aihw.gov.au/content/393094" TargetMode="External" Id="R277f4e74fbfa4e8b" /><Relationship Type="http://schemas.openxmlformats.org/officeDocument/2006/relationships/hyperlink" Target="https://meteor.aihw.gov.au/RegistrationAuthority/12" TargetMode="External" Id="Rc02d9f646ffc4daf" /><Relationship Type="http://schemas.openxmlformats.org/officeDocument/2006/relationships/hyperlink" Target="https://meteor.aihw.gov.au/content/500061" TargetMode="External" Id="R730c647b1d2b41fe" /><Relationship Type="http://schemas.openxmlformats.org/officeDocument/2006/relationships/hyperlink" Target="https://meteor.aihw.gov.au/RegistrationAuthority/12" TargetMode="External" Id="R2f27eee8645e4d0c" /><Relationship Type="http://schemas.openxmlformats.org/officeDocument/2006/relationships/hyperlink" Target="https://meteor.aihw.gov.au/content/421577" TargetMode="External" Id="Rc252dedad8834538" /><Relationship Type="http://schemas.openxmlformats.org/officeDocument/2006/relationships/hyperlink" Target="https://meteor.aihw.gov.au/RegistrationAuthority/12" TargetMode="External" Id="R1dde985e46e843b4" /></Relationships>
</file>

<file path=word/_rels/header1.xml.rels>&#65279;<?xml version="1.0" encoding="utf-8"?><Relationships xmlns="http://schemas.openxmlformats.org/package/2006/relationships"><Relationship Type="http://schemas.openxmlformats.org/officeDocument/2006/relationships/image" Target="/media/image.png" Id="Rf2253b97b0544f63" /></Relationships>
</file>