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a1a48d6c9b46e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61: Teenage birth rate,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61: Teenage birth rate,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ab5f30ea6747f3">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numerator includes births to mothers aged less than 15 years, however, the denominator only includes women aged 15 to 19 years.  This may result in the rate being slightly overstated.</w:t>
            </w:r>
          </w:p>
          <w:p>
            <w:pPr>
              <w:pStyle w:val="ListParagraph"/>
              <w:numPr>
                <w:ilvl w:val="0"/>
                <w:numId w:val="2"/>
              </w:numPr>
            </w:pPr>
            <w:r>
              <w:rPr>
                <w:rStyle w:val="row-content-rich-text"/>
              </w:rPr>
              <w:t xml:space="preserve">The National Perinatal Data Collection (NPDC) includes information on the Indigenous status of the mother only. Since 2005, all jurisdictions have collected information on Indigenous status of the mother in accordance with the Perinatal National Minimum Data Set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r>
              <w:rPr>
                <w:rStyle w:val="row-content-rich-text"/>
              </w:rPr>
              <w:t xml:space="preserve">Data collected as part of the NPDC include an NMDS and were supplied by State and Territory health authorities to the National Perinatal Statistics Unit (NPSU),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2008.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rPr>
              <w:t xml:space="preserve">Australia’s mothers and babies annual report</w:t>
            </w:r>
          </w:p>
          <w:p>
            <w:pPr>
              <w:pStyle w:val="ListParagraph"/>
              <w:numPr>
                <w:ilvl w:val="0"/>
                <w:numId w:val="3"/>
              </w:numPr>
            </w:pPr>
            <w:r>
              <w:rPr>
                <w:rStyle w:val="row-content-rich-text"/>
              </w:rPr>
              <w:t xml:space="preserve">Indigenous mothers and their babies, Australia 2001–2004</w:t>
            </w:r>
          </w:p>
          <w:p>
            <w:pPr>
              <w:pStyle w:val="ListParagraph"/>
              <w:numPr>
                <w:ilvl w:val="0"/>
                <w:numId w:val="3"/>
              </w:numPr>
            </w:pPr>
            <w:r>
              <w:rPr>
                <w:rStyle w:val="row-content-rich-text"/>
              </w:rPr>
              <w:t xml:space="preserve">METeOR – online metadata repository</w:t>
            </w:r>
          </w:p>
          <w:p>
            <w:pPr>
              <w:pStyle w:val="ListParagraph"/>
              <w:numPr>
                <w:ilvl w:val="0"/>
                <w:numId w:val="3"/>
              </w:numPr>
            </w:pPr>
            <w:r>
              <w:rPr>
                <w:rStyle w:val="row-content-rich-text"/>
              </w:rPr>
              <w:t xml:space="preserve">National health data dictionary.</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Australia’s mothers and babies (Chapter 1), available in hard copy or on the AIHW website. Comprehensive information on the quality of Perinatal NMDS elements are published in Perinatal National Minimum Data Set compliance evaluation 2001–2005. Readers are advised to read caveat information to ensure appropriate interpretation of the performance indicator. More detailed information on the quality of Indigenous data that might affect interpretation of the indicator was published in Indigenous mothers and their babies, Australia 2001–2004 (Chapter 1 and Chapter 5).</w:t>
            </w:r>
          </w:p>
          <w:p>
            <w:pPr/>
            <w:r>
              <w:rPr>
                <w:rStyle w:val="row-content-rich-text"/>
              </w:rPr>
              <w:t xml:space="preserve">Metadata information for this indicator has been published in the AIHW’s online metadata repository — METeOR. Metadata information for the Perinatal NMDS are published in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(live or stillbirth), sex, gestational age at birth, birthweight, Apgar score and neonatal length of stay.</w:t>
            </w:r>
          </w:p>
          <w:p>
            <w:pPr>
              <w:spacing w:after="160"/>
            </w:pPr>
            <w:r>
              <w:rPr>
                <w:rStyle w:val="row-content-rich-text"/>
              </w:rPr>
              <w:t xml:space="preserve">The Perinatal NMDS includes all relevant data elements of interest for the numerator of this indicator. 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1999–2008 has been consistent, at 3.5–3.8 per cent of women who gave birth.  For maternal records where Indigenous status was not stated (0.1 per cent), data were excluded.</w:t>
            </w:r>
          </w:p>
          <w:p>
            <w:pPr>
              <w:spacing w:after="160"/>
            </w:pPr>
            <w:r>
              <w:rPr>
                <w:rStyle w:val="row-content-rich-text"/>
              </w:rPr>
              <w:t xml:space="preserve">Maternal age is calculated using the date of birth of the mother and the baby. Both of these items are included in the Perinatal NMDS. For 2008 data, New South Wales was non-compliant with the Perinatal NMDS and provided maternal age rather than maternal dates of birth. South Australia provided confidentialised dates, adjusted based on the baby’s date of birth (recorded as the first of the month). South Australian legislation prevents the release of potentially identifiable data from its perinatal data collection.</w:t>
            </w:r>
          </w:p>
          <w:p>
            <w:pPr>
              <w:spacing w:after="160"/>
            </w:pPr>
            <w:r>
              <w:rPr>
                <w:rStyle w:val="row-content-rich-text"/>
              </w:rPr>
              <w:t xml:space="preserve">The indicator is presented by Socio-Economic Indexes for Areas (SEIFA) Index for Relative Socio-Economic Disadvantage (IRSD). The data supplied to the NPDC include a code for SLA from all states and territories.</w:t>
            </w:r>
          </w:p>
          <w:p>
            <w:pPr>
              <w:spacing w:after="160"/>
            </w:pPr>
            <w:r>
              <w:rPr>
                <w:rStyle w:val="row-content-rich-text"/>
              </w:rPr>
              <w:t xml:space="preserve">Reporting by remoteness is in accordance with the Australian Standard Geographical Classification (ASGC).  Remoteness is assigned from SLA or postal area codes.  The numerator and denominator for the calculation of rates for this indicator come from different sources (numerator from the NPDC and denominator from ABS population data). While population data are adjusted for undercount and missing responses to the Indigenous status question, data from the NPDC are not. This, along with changing levels of Indigenous identification over time and across jurisdictions in both the numerator and denominator may affect the accuracy of compiling a consistent time series.</w:t>
            </w:r>
          </w:p>
          <w:p>
            <w:pPr/>
            <w:r>
              <w:rPr>
                <w:rStyle w:val="row-content-rich-text"/>
              </w:rPr>
              <w:t xml:space="preserve">Cells have been suppressed to protect confidentiality (where the numerator is less than 5 or would identify a single service provider), where rates are highly volatile (ie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checking and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There is not full compliance with the Perinatal NMDS for maternal age. New South Wales did not provide full maternal dates of birth for 2008, instead supplying calculated maternal age. The geographical location code for the area of usual residence of the mother is included in the Perinatal NMDS. Only 0.1 per cent of records were non-residents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r>
              <w:rPr>
                <w:rStyle w:val="row-content-rich-text"/>
              </w:rPr>
              <w:t xml:space="preserve">Data presented by Indigenous status are influenced by the quality and completeness of Indigenous identification of mothers which is likely to differ among jurisdictions. Approximately 0.1 per cent of mothers who gave birth in the reference period had missing Indigenous status information. No adjustments have been made for under-identification or missing Indigenous status information and thus jurisdictional comparisons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Changing levels of Indigenous identification over time and across jurisdictions may affect the accuracy of compiling a consistent time series.</w:t>
            </w:r>
          </w:p>
          <w:p>
            <w:pPr/>
            <w:r>
              <w:rPr>
                <w:rStyle w:val="row-content-rich-text"/>
              </w:rPr>
              <w:t xml:space="preserve">Differential supply of NMDS item Date of birth (used for calculating maternal age) may impact adversely on the cohesion of the data to report over time and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4da58be8aa4de5">
              <w:r>
                <w:rPr>
                  <w:rStyle w:val="Hyperlink"/>
                </w:rPr>
                <w:t xml:space="preserve">National Healthcare Agreement: P61-Teenage birth rate, 2010 QS</w:t>
              </w:r>
            </w:hyperlink>
          </w:p>
          <w:p>
            <w:pPr>
              <w:pStyle w:val="registration-status"/>
              <w:spacing w:before="0" w:after="0"/>
            </w:pPr>
            <w:hyperlink w:history="true" r:id="R25795f33fe864ac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219086dd058e4178">
              <w:r>
                <w:rPr>
                  <w:rStyle w:val="Hyperlink"/>
                </w:rPr>
                <w:t xml:space="preserve">National Healthcare Agreement: PI 61-Teenage birth rate, 2012 QS</w:t>
              </w:r>
            </w:hyperlink>
          </w:p>
          <w:p>
            <w:pPr>
              <w:pStyle w:val="registration-status"/>
              <w:spacing w:before="0" w:after="0"/>
            </w:pPr>
            <w:hyperlink w:history="true" r:id="Rd8ac997641a2402e">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4a3dd1bf5454237">
              <w:r>
                <w:rPr>
                  <w:rStyle w:val="Hyperlink"/>
                </w:rPr>
                <w:t xml:space="preserve">National Healthcare Agreement: PI 61-Teenage birth rate, 2011</w:t>
              </w:r>
            </w:hyperlink>
          </w:p>
          <w:p>
            <w:pPr>
              <w:pStyle w:val="registration-status"/>
              <w:spacing w:before="0" w:after="0"/>
            </w:pPr>
            <w:hyperlink w:history="true" r:id="Ra0b0225538ec4ec0">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50c2e8a7704c45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f965e8532343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c2e8a7704c4521" /><Relationship Type="http://schemas.openxmlformats.org/officeDocument/2006/relationships/header" Target="/word/header1.xml" Id="Rb5567284bd094a0c" /><Relationship Type="http://schemas.openxmlformats.org/officeDocument/2006/relationships/settings" Target="/word/settings.xml" Id="Rca7090f84ffb46b2" /><Relationship Type="http://schemas.openxmlformats.org/officeDocument/2006/relationships/styles" Target="/word/styles.xml" Id="Rc22ef1f3634c41d0" /><Relationship Type="http://schemas.openxmlformats.org/officeDocument/2006/relationships/numbering" Target="/word/numbering.xml" Id="R73c0701369884d75" /><Relationship Type="http://schemas.openxmlformats.org/officeDocument/2006/relationships/hyperlink" Target="https://meteor.aihw.gov.au/RegistrationAuthority/12" TargetMode="External" Id="R8eab5f30ea6747f3" /><Relationship Type="http://schemas.openxmlformats.org/officeDocument/2006/relationships/hyperlink" Target="https://meteor.aihw.gov.au/content/393087" TargetMode="External" Id="R194da58be8aa4de5" /><Relationship Type="http://schemas.openxmlformats.org/officeDocument/2006/relationships/hyperlink" Target="https://meteor.aihw.gov.au/RegistrationAuthority/12" TargetMode="External" Id="R25795f33fe864aca" /><Relationship Type="http://schemas.openxmlformats.org/officeDocument/2006/relationships/hyperlink" Target="https://meteor.aihw.gov.au/content/500076" TargetMode="External" Id="R219086dd058e4178" /><Relationship Type="http://schemas.openxmlformats.org/officeDocument/2006/relationships/hyperlink" Target="https://meteor.aihw.gov.au/RegistrationAuthority/12" TargetMode="External" Id="Rd8ac997641a2402e" /><Relationship Type="http://schemas.openxmlformats.org/officeDocument/2006/relationships/hyperlink" Target="https://meteor.aihw.gov.au/content/421590" TargetMode="External" Id="Rc4a3dd1bf5454237" /><Relationship Type="http://schemas.openxmlformats.org/officeDocument/2006/relationships/hyperlink" Target="https://meteor.aihw.gov.au/RegistrationAuthority/12" TargetMode="External" Id="Ra0b0225538ec4ec0" /></Relationships>
</file>

<file path=word/_rels/header1.xml.rels>&#65279;<?xml version="1.0" encoding="utf-8"?><Relationships xmlns="http://schemas.openxmlformats.org/package/2006/relationships"><Relationship Type="http://schemas.openxmlformats.org/officeDocument/2006/relationships/image" Target="/media/image.png" Id="Rf7f965e8532343b5" /></Relationships>
</file>