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f13d6d13a274d5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47: Rates of services: Non-acute care separations, 2011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47: Rates of services: Non-acute care separations,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448560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ab3bc5af304b4b">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dataset that has records for all separations of admitted patients from essentially all public and private hospitals in Australia.</w:t>
            </w:r>
          </w:p>
          <w:p>
            <w:pPr>
              <w:pStyle w:val="ListParagraph"/>
              <w:numPr>
                <w:ilvl w:val="0"/>
                <w:numId w:val="2"/>
              </w:numPr>
            </w:pPr>
            <w:r>
              <w:rPr>
                <w:rStyle w:val="row-content-rich-text"/>
              </w:rPr>
              <w:t xml:space="preserve">There is some variation among jurisdictions in the assignment of care type categories.</w:t>
            </w:r>
          </w:p>
          <w:p>
            <w:pPr>
              <w:pStyle w:val="ListParagraph"/>
              <w:numPr>
                <w:ilvl w:val="0"/>
                <w:numId w:val="2"/>
              </w:numPr>
            </w:pPr>
            <w:r>
              <w:rPr>
                <w:rStyle w:val="row-content-rich-text"/>
              </w:rPr>
              <w:t xml:space="preserve">The number of overnight separations is considered to be more comparable than the total number of separations among jurisdictions and between the public and private sectors. This is because variation in admission practices and policies can lead to variation in the number of same-day admissions among providers.</w:t>
            </w:r>
          </w:p>
          <w:p>
            <w:pPr>
              <w:pStyle w:val="ListParagraph"/>
              <w:numPr>
                <w:ilvl w:val="0"/>
                <w:numId w:val="2"/>
              </w:numPr>
            </w:pPr>
            <w:r>
              <w:rPr>
                <w:rStyle w:val="row-content-rich-text"/>
              </w:rPr>
              <w:t xml:space="preserve">Numerators for remoteness and socioeconomic status are based on the reported area of usual residence of the patient, regardless of the jurisdiction of the hospital. This may be relevant if significant numbers of one jurisdiction’s residents are treated in another jurisdiction.</w:t>
            </w:r>
          </w:p>
          <w:p>
            <w:pPr>
              <w:pStyle w:val="ListParagraph"/>
              <w:numPr>
                <w:ilvl w:val="0"/>
                <w:numId w:val="2"/>
              </w:numPr>
            </w:pPr>
            <w:r>
              <w:rPr>
                <w:rStyle w:val="row-content-rich-text"/>
              </w:rPr>
              <w:t xml:space="preserve">Interpretation of rates for jurisdictions should take into consideration cross-border flows, particularly in the 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r>
              <w:br/>
            </w:r>
            <w:r>
              <w:rPr>
                <w:rStyle w:val="row-content-rich-text"/>
              </w:rPr>
              <w:t xml:space="preserve">The Institute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The data were supplied to the Institute by State and Territory health authorities. The State and Territory health authorities received these data from public and private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w:t>
            </w:r>
          </w:p>
          <w:p>
            <w:hyperlink w:history="true" r:id="R3698093353814968">
              <w:r>
                <w:rPr>
                  <w:rStyle w:val="Hyperlink"/>
                </w:rPr>
                <w:t xml:space="preserve">http://www.aihw.gov.au/committees/simc/final_nhia_signed.doc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2008 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include:</w:t>
            </w:r>
          </w:p>
          <w:p>
            <w:pPr>
              <w:pStyle w:val="ListParagraph"/>
              <w:numPr>
                <w:ilvl w:val="0"/>
                <w:numId w:val="3"/>
              </w:numPr>
            </w:pPr>
            <w:r>
              <w:rPr>
                <w:rStyle w:val="row-content-rich-text"/>
              </w:rPr>
              <w:t xml:space="preserve">Australian hospital statistics with associated Excel tables.</w:t>
            </w:r>
          </w:p>
          <w:p>
            <w:pPr>
              <w:pStyle w:val="ListParagraph"/>
              <w:numPr>
                <w:ilvl w:val="0"/>
                <w:numId w:val="3"/>
              </w:numPr>
            </w:pPr>
            <w:r>
              <w:rPr>
                <w:rStyle w:val="row-content-rich-text"/>
              </w:rPr>
              <w:t xml:space="preserve">Interactive data cubes for Admitted patient care (for Principal diagnoses, Procedures and Diagnosis Related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NHMD are published annually in Australian hospital statistics (technical appendixes), available in hard copy or on the AIHW website. Readers are advised to read caveat information to ensure appropriate interpretation of the performance indicator. Supporting information includes discussion of coverage, completeness of coding, the quality of Indigenous data, and changes in service delivery that might affect interpretation of the published data. Metadata information for the NMDS for Admitted patient care are published in the AIHW’s online metadata repository — METeOR, and the National health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included. Hospitals specialising in dental,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Remoteness and socioeconomic status are based on the reported area of usual residence of the patient. The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w:t>
            </w:r>
          </w:p>
          <w:p>
            <w:pPr/>
            <w:r>
              <w:rPr>
                <w:rStyle w:val="row-content-rich-text"/>
              </w:rPr>
              <w:t xml:space="preserve">Separations are reported by jurisdiction of hospitalisation, regardless of the jurisdiction of usual residence. Hence, rates represent the number of separations for each remoteness area or SEIFA population group (regardless of the jurisdiction in which the patient resides) divided by the number of people in that remoteness or SEIFA population group in the jurisdiction of hospitalisation. This may be relevant if significant numbers of one jurisdiction’s residents are treated in another jurisdiction (eg 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2008 09, almost all public hospitals provided data for the NHMD, with the exception of a mothercraft hospital in the ACT. The great majority of private hospitals also provided data, except for private day hospital facilities in the ACT, the single private free-standing day hospital facility in the NT, and two private hospitals in Tasmania.</w:t>
            </w:r>
          </w:p>
          <w:p>
            <w:pPr>
              <w:spacing w:after="160"/>
            </w:pPr>
            <w:r>
              <w:rPr>
                <w:rStyle w:val="row-content-rich-text"/>
              </w:rPr>
              <w:t xml:space="preserve">States and territories are primarily responsible for the quality of the data they provide. However, the Institute undertakes extensive validation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 The AIHW does not adjust data to account for possible data errors or missing or incorrect values.</w:t>
            </w:r>
            <w:r>
              <w:br/>
            </w:r>
            <w:r>
              <w:rPr>
                <w:rStyle w:val="row-content-rich-text"/>
              </w:rPr>
              <w:t xml:space="preserve">The number of overnight separations is considered to be more comparable than the total number of separations among jurisdictions and between the public and private sectors. This is because variation in admission practices and policies lead to variation in the number of same day admissions among providers.</w:t>
            </w:r>
          </w:p>
          <w:p>
            <w:pPr/>
            <w:r>
              <w:rPr>
                <w:rStyle w:val="row-content-rich-text"/>
              </w:rPr>
              <w:t xml:space="preserve">There is some variation among jurisdictions in the assignment of care type categories.</w:t>
            </w:r>
            <w:r>
              <w:br/>
            </w:r>
            <w:r>
              <w:rPr>
                <w:rStyle w:val="row-content-rich-text"/>
              </w:rPr>
              <w:t xml:space="preserve">The Indigenous status data are of sufficient quality for statistical reporting purposes for the following jurisdictions: NSW, Vic, Qld, SA, WA, NT (NT public hospitals only). National totals include these six jurisdictions only. Indigenous status data reported for Tasmania and ACT should be interpreted with caution until further assessment of Indigenous identification is completed.</w:t>
            </w:r>
            <w:r>
              <w:br/>
            </w:r>
            <w:r>
              <w:rPr>
                <w:rStyle w:val="row-content-rich-text"/>
              </w:rPr>
              <w:t xml:space="preserve">Cells have been suppressed to protect confidentiality (where the presentation could identify a patient or a single service provider) or where rates are likely to be highly volatile (for example, the denominator is very small).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Australian hospital statistics 2008 09 and the National Healthcare Agreement: Baseline performance report for 2008 09.</w:t>
            </w:r>
          </w:p>
          <w:p>
            <w:pPr/>
            <w:r>
              <w:rPr>
                <w:rStyle w:val="row-content-rich-text"/>
              </w:rPr>
              <w:t xml:space="preserve">The data can be meaningfully compared across reference periods for all jurisdictions except Tasmania. 2008-09 data for Tasmania does not include two private hospitals that were included in 2007-08 data reported in the baseline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a612a90adb846ca">
              <w:r>
                <w:rPr>
                  <w:rStyle w:val="Hyperlink"/>
                </w:rPr>
                <w:t xml:space="preserve">National Healthcare Agreement: P47-Rates of services: Non-acute care separations, 2010 QS</w:t>
              </w:r>
            </w:hyperlink>
          </w:p>
          <w:p>
            <w:pPr>
              <w:pStyle w:val="registration-status"/>
              <w:spacing w:before="0" w:after="0"/>
            </w:pPr>
            <w:hyperlink w:history="true" r:id="R58aa241c41d64be8">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8070adb909014aeb">
              <w:r>
                <w:rPr>
                  <w:rStyle w:val="Hyperlink"/>
                </w:rPr>
                <w:t xml:space="preserve">National Healthcare Agreement: PI 47-Rates of services: Non-acute care separations, 2012 QS</w:t>
              </w:r>
            </w:hyperlink>
          </w:p>
          <w:p>
            <w:pPr>
              <w:pStyle w:val="registration-status"/>
              <w:spacing w:before="0" w:after="0"/>
            </w:pPr>
            <w:hyperlink w:history="true" r:id="R2467d1146c024c0b">
              <w:r>
                <w:rPr>
                  <w:rStyle w:val="Hyperlink"/>
                  <w:color w:val="244061"/>
                </w:rPr>
                <w:t xml:space="preserve">Health</w:t>
              </w:r>
            </w:hyperlink>
            <w:r>
              <w:rPr>
                <w:rStyle w:val="row-content"/>
                <w:color w:val="244061"/>
              </w:rPr>
              <w:t xml:space="preserve">, Retired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c21a8cc0df60446f">
              <w:r>
                <w:rPr>
                  <w:rStyle w:val="Hyperlink"/>
                </w:rPr>
                <w:t xml:space="preserve">National Healthcare Agreement: PI 47-Rates of services: Non-acute care separations, 2011</w:t>
              </w:r>
            </w:hyperlink>
          </w:p>
          <w:p>
            <w:pPr>
              <w:pStyle w:val="registration-status"/>
              <w:spacing w:before="0" w:after="0"/>
            </w:pPr>
            <w:hyperlink w:history="true" r:id="R804234bdd6bd4d1f">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31e346ca57674d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448560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cde28ab52941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e346ca57674d66" /><Relationship Type="http://schemas.openxmlformats.org/officeDocument/2006/relationships/header" Target="/word/header1.xml" Id="R8ccfaf80761d4970" /><Relationship Type="http://schemas.openxmlformats.org/officeDocument/2006/relationships/settings" Target="/word/settings.xml" Id="R58909b21ef934ecb" /><Relationship Type="http://schemas.openxmlformats.org/officeDocument/2006/relationships/styles" Target="/word/styles.xml" Id="Ra78271d5c0514e2d" /><Relationship Type="http://schemas.openxmlformats.org/officeDocument/2006/relationships/numbering" Target="/word/numbering.xml" Id="Rdbad72c449ca4a2a" /><Relationship Type="http://schemas.openxmlformats.org/officeDocument/2006/relationships/hyperlink" Target="https://meteor.aihw.gov.au/RegistrationAuthority/12" TargetMode="External" Id="R01ab3bc5af304b4b" /><Relationship Type="http://schemas.openxmlformats.org/officeDocument/2006/relationships/hyperlink" Target="http://www.aihw.gov.au/committees/simc/final_nhia_signed.doc" TargetMode="External" Id="R3698093353814968" /><Relationship Type="http://schemas.openxmlformats.org/officeDocument/2006/relationships/hyperlink" Target="https://meteor.aihw.gov.au/content/393051" TargetMode="External" Id="Rba612a90adb846ca" /><Relationship Type="http://schemas.openxmlformats.org/officeDocument/2006/relationships/hyperlink" Target="https://meteor.aihw.gov.au/RegistrationAuthority/12" TargetMode="External" Id="R58aa241c41d64be8" /><Relationship Type="http://schemas.openxmlformats.org/officeDocument/2006/relationships/hyperlink" Target="https://meteor.aihw.gov.au/content/500158" TargetMode="External" Id="R8070adb909014aeb" /><Relationship Type="http://schemas.openxmlformats.org/officeDocument/2006/relationships/hyperlink" Target="https://meteor.aihw.gov.au/RegistrationAuthority/12" TargetMode="External" Id="R2467d1146c024c0b" /><Relationship Type="http://schemas.openxmlformats.org/officeDocument/2006/relationships/hyperlink" Target="https://meteor.aihw.gov.au/content/421598" TargetMode="External" Id="Rc21a8cc0df60446f" /><Relationship Type="http://schemas.openxmlformats.org/officeDocument/2006/relationships/hyperlink" Target="https://meteor.aihw.gov.au/RegistrationAuthority/12" TargetMode="External" Id="R804234bdd6bd4d1f" /></Relationships>
</file>

<file path=word/_rels/header1.xml.rels>&#65279;<?xml version="1.0" encoding="utf-8"?><Relationships xmlns="http://schemas.openxmlformats.org/package/2006/relationships"><Relationship Type="http://schemas.openxmlformats.org/officeDocument/2006/relationships/image" Target="/media/image.png" Id="Rddcde28ab5294184" /></Relationships>
</file>