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5f7a2bda4b47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 Falls resulting in patient harm in hospitals,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 Falls resulting in patient harm in hospitals,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78f548b044a3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20 percent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The comparability of the data will be affected by the fact that it has not been adjusted for differences in casemix (eg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r>
              <w:br/>
            </w: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be2f25697b5d4924">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Statistical Local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spacing w:after="160"/>
            </w:pPr>
            <w:r>
              <w:rPr>
                <w:rStyle w:val="row-content-rich-text"/>
              </w:rPr>
              <w:t xml:space="preserve">The specifications for the indicator defines a fall in hospital as being one for which the place of occurrence is coded as ‘health service area’. The ‘health service area’ as a place of occurrence is broader in scope than hospitals — it includes other health service settings such as day surgery centres and hospices. Hence the numbers presented could be an overestimate as they include falls in health care settings other than hospitals.</w:t>
            </w:r>
          </w:p>
          <w:p>
            <w:pPr>
              <w:spacing w:after="160"/>
            </w:pPr>
            <w:r>
              <w:rPr>
                <w:rStyle w:val="row-content-rich-text"/>
              </w:rPr>
              <w:t xml:space="preserve">Around 20 percent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w:t>
            </w:r>
            <w:r>
              <w:br/>
            </w:r>
            <w:r>
              <w:rPr>
                <w:rStyle w:val="row-content-rich-text"/>
              </w:rPr>
              <w:t xml:space="preserve">To minimise the chance of over-estimation, separations where a person was admitted to hospital with a principal diagnosis of an injury were excluded on the basis that if the injury was the principal diagnosis it was associated with an external cause relating to an event occurring prior to admission. However, these exclusions may result in an underestimation of the indicator as the indicator does not count separations where a person is injured and admitted to hospital and then subsequently experiences a fall in hospital.</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comparability of the data will be affected by the fact that it has not been adjusted for differences in casemix (eg patient age).</w:t>
            </w:r>
          </w:p>
          <w:p>
            <w:pPr/>
            <w:r>
              <w:rPr>
                <w:rStyle w:val="row-content-rich-text"/>
              </w:rPr>
              <w:t xml:space="preserve">Cells have been suppressed to protect confidentiality (where the presentation could identify a patient or a single service provider) or where rates are likely to be highly volatile (eg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specifications and analysis methodology used for this report are equivalent to the National Healthcare Agreement: Baseline performance report 2008 09. The data can be meaningfully compared across reference periods for all jurisdictions except Tasmania. 2008-09 data for Tasmania does not include two private hospitals that were included in 2007-08 data reported in the baseline report.</w:t>
            </w:r>
          </w:p>
          <w:p>
            <w:pPr/>
            <w:r>
              <w:rPr>
                <w:rStyle w:val="row-content-rich-text"/>
              </w:rPr>
              <w:t xml:space="preserve">The number of separations involving an ICD-10-AM external cause code for a fall has been reported in the AIHW publication Australian hospital statistics 2008 09. However, the methodology used in Australian hospital statistics 2008 09 differs from the NHA indicator, in that there are no exclusion criteria applied for the principal diagnoses.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17157f4fc4c30">
              <w:r>
                <w:rPr>
                  <w:rStyle w:val="Hyperlink"/>
                </w:rPr>
                <w:t xml:space="preserve">National Healthcare Agreement: P41-Falls resulting in patient harm in hospitals, 2010 QS</w:t>
              </w:r>
            </w:hyperlink>
          </w:p>
          <w:p>
            <w:pPr>
              <w:spacing w:before="0" w:after="0"/>
            </w:pPr>
            <w:r>
              <w:rPr>
                <w:rStyle w:val="row-content"/>
                <w:color w:val="244061"/>
              </w:rPr>
              <w:t xml:space="preserve">       </w:t>
            </w:r>
            <w:hyperlink w:history="true" r:id="R678722843200497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220ecbe99024f67">
              <w:r>
                <w:rPr>
                  <w:rStyle w:val="Hyperlink"/>
                </w:rPr>
                <w:t xml:space="preserve">National Healthcare Agreement: PI 41-Falls resulting in patient harm in hospitals, 2012 QS</w:t>
              </w:r>
            </w:hyperlink>
          </w:p>
          <w:p>
            <w:pPr>
              <w:spacing w:before="0" w:after="0"/>
            </w:pPr>
            <w:r>
              <w:rPr>
                <w:rStyle w:val="row-content"/>
                <w:color w:val="244061"/>
              </w:rPr>
              <w:t xml:space="preserve">       </w:t>
            </w:r>
            <w:hyperlink w:history="true" r:id="Rb9d9a1624aa243fd">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03a1b42a77e4ef4">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952295c3d32a492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5dc5ada70b3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26d8ddec2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c5ada70b34491" /><Relationship Type="http://schemas.openxmlformats.org/officeDocument/2006/relationships/header" Target="/word/header1.xml" Id="R4c1675cdba484240" /><Relationship Type="http://schemas.openxmlformats.org/officeDocument/2006/relationships/settings" Target="/word/settings.xml" Id="R71bd00dd97ca4ef4" /><Relationship Type="http://schemas.openxmlformats.org/officeDocument/2006/relationships/styles" Target="/word/styles.xml" Id="R53762f58083a4d26" /><Relationship Type="http://schemas.openxmlformats.org/officeDocument/2006/relationships/hyperlink" Target="https://meteor.aihw.gov.au/RegistrationAuthority/12" TargetMode="External" Id="R4ca78f548b044a3a" /><Relationship Type="http://schemas.openxmlformats.org/officeDocument/2006/relationships/numbering" Target="/word/numbering.xml" Id="Rc714d1bb4cf7442b" /><Relationship Type="http://schemas.openxmlformats.org/officeDocument/2006/relationships/hyperlink" Target="http://www.aihw.gov.au/committees/simc/final_nhia_signed.doc" TargetMode="External" Id="Rbe2f25697b5d4924" /><Relationship Type="http://schemas.openxmlformats.org/officeDocument/2006/relationships/hyperlink" Target="https://meteor.aihw.gov.au/content/393039" TargetMode="External" Id="Rd4817157f4fc4c30" /><Relationship Type="http://schemas.openxmlformats.org/officeDocument/2006/relationships/hyperlink" Target="https://meteor.aihw.gov.au/RegistrationAuthority/12" TargetMode="External" Id="R6787228432004976" /><Relationship Type="http://schemas.openxmlformats.org/officeDocument/2006/relationships/hyperlink" Target="https://meteor.aihw.gov.au/content/500201" TargetMode="External" Id="R7220ecbe99024f67" /><Relationship Type="http://schemas.openxmlformats.org/officeDocument/2006/relationships/hyperlink" Target="https://meteor.aihw.gov.au/RegistrationAuthority/12" TargetMode="External" Id="Rb9d9a1624aa243fd" /><Relationship Type="http://schemas.openxmlformats.org/officeDocument/2006/relationships/hyperlink" Target="https://meteor.aihw.gov.au/content/421611" TargetMode="External" Id="R803a1b42a77e4ef4" /><Relationship Type="http://schemas.openxmlformats.org/officeDocument/2006/relationships/hyperlink" Target="https://meteor.aihw.gov.au/RegistrationAuthority/12" TargetMode="External" Id="R952295c3d32a4927" /></Relationships>
</file>

<file path=word/_rels/header1.xml.rels>&#65279;<?xml version="1.0" encoding="utf-8"?><Relationships xmlns="http://schemas.openxmlformats.org/package/2006/relationships"><Relationship Type="http://schemas.openxmlformats.org/officeDocument/2006/relationships/image" Target="/media/image.png" Id="R34926d8ddec24a3d" /></Relationships>
</file>