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dccfaa1abe4b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 Proportion of people with a mental illness with GP treatment plans,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 Proportion of people with a mental illness with GP treatment plans,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7bd874d644b6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p>
            <w:pPr>
              <w:pStyle w:val="ListParagraph"/>
              <w:numPr>
                <w:ilvl w:val="0"/>
                <w:numId w:val="2"/>
              </w:numPr>
            </w:pPr>
            <w:r>
              <w:rPr>
                <w:rStyle w:val="row-content-rich-text"/>
              </w:rPr>
              <w:t xml:space="preserve">As of 1 July 2009, a diagnosis of mental illness was required to access GP Mental Health Treatment Plans. Therefore 2008-09 and 2009-10 data are not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environment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DoHA.</w:t>
            </w:r>
          </w:p>
          <w:p>
            <w:pPr>
              <w:spacing w:after="160"/>
            </w:pPr>
            <w:r>
              <w:rPr>
                <w:rStyle w:val="row-content-rich-text"/>
              </w:rPr>
              <w:t xml:space="preserve">The ABS is Australia's official national statistical agency. The ABS operates within a framework that includes the Australian Bureau of Statistics Act 1975 and the Census and Statistics Act 1905. For more information see the ABS Institutional Environment.</w:t>
            </w:r>
          </w:p>
          <w:p>
            <w:pPr/>
            <w:r>
              <w:rPr>
                <w:rStyle w:val="row-content-rich-text"/>
              </w:rPr>
              <w:t xml:space="preserve">The numerator for this indicator was prepared by DoHA, the denominator was prepared by the ABS —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2009-10 financial year.</w:t>
            </w:r>
          </w:p>
          <w:p>
            <w:pPr>
              <w:spacing w:after="160"/>
            </w:pPr>
            <w:r>
              <w:rPr>
                <w:rStyle w:val="row-content-rich-text"/>
                <w:u w:val="single"/>
              </w:rPr>
              <w:t xml:space="preserve">National Survey of Mental Health and Wellbeing 2007</w:t>
            </w:r>
          </w:p>
          <w:p>
            <w:pPr/>
            <w:r>
              <w:rPr>
                <w:rStyle w:val="row-content-rich-text"/>
              </w:rPr>
              <w:t xml:space="preserve">The SMHW was conducted from August to December 2007, and adjusted to generate 2009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ecc8b97eba5d4505">
              <w:r>
                <w:rPr>
                  <w:rStyle w:val="Hyperlink"/>
                </w:rPr>
                <w:t xml:space="preserve">http://www.health.gov.au/internet/main/publishing.nsf/Content/Medicare+S</w:t>
              </w:r>
            </w:hyperlink>
            <w:r>
              <w:rPr>
                <w:rStyle w:val="row-content-rich-text"/>
              </w:rPr>
              <w:t xml:space="preserve"> tatistics-1 </w:t>
            </w:r>
            <w:hyperlink w:history="true" r:id="Rf7d418b1eac041db">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r>
              <w:rPr>
                <w:rStyle w:val="row-content-rich-text"/>
              </w:rPr>
              <w:t xml:space="preserve">National Survey of Mental Health and Wellbeing 2007 information is available at:</w:t>
            </w:r>
            <w:r>
              <w:br/>
            </w:r>
            <w:hyperlink w:history="true" r:id="Ra8131ee17a5b4829">
              <w:r>
                <w:rPr>
                  <w:rStyle w:val="Hyperlink"/>
                </w:rPr>
                <w:t xml:space="preserve">http://www.abs.gov.au/ausstats/abs@.nsf/PrimaryMainFeatures/4327.0?OpenDocument</w:t>
              </w:r>
            </w:hyperlink>
            <w:r>
              <w:br/>
            </w:r>
            <w:hyperlink w:history="true" r:id="R1be6d9eb246e4774">
              <w:r>
                <w:rPr>
                  <w:rStyle w:val="Hyperlink"/>
                </w:rPr>
                <w:t xml:space="preserve">http://www.abs.gov.au/ausstats/abs@.nsf/PrimaryMainFeatures/4326.0?OpenDocument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09da292cefb5496b">
              <w:r>
                <w:rPr>
                  <w:rStyle w:val="Hyperlink"/>
                </w:rPr>
                <w:t xml:space="preserve">http://www.health.gov.au/internet/mbsonline/publishing.nsf/content/medica</w:t>
              </w:r>
            </w:hyperlink>
            <w:r>
              <w:rPr>
                <w:rStyle w:val="row-content-rich-text"/>
              </w:rPr>
              <w:t xml:space="preserve"> re-benefits-schedule-mbs-1</w:t>
            </w:r>
          </w:p>
          <w:p>
            <w:pPr/>
            <w:r>
              <w:rPr>
                <w:rStyle w:val="row-content-rich-text"/>
              </w:rPr>
              <w:t xml:space="preserve">Information is available for the National Survey of Mental Health and Wellbeing from National Survey of Mental Health and Wellbeing: Summary of Results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p>
            <w:pPr>
              <w:spacing w:after="160"/>
            </w:pPr>
            <w:r>
              <w:rPr>
                <w:rStyle w:val="row-content-rich-text"/>
              </w:rPr>
              <w:t xml:space="preserve">This measure does not include claims that are reimbursed through the Department of Veterans’ Affairs (DVA). For 2009-10, it is estimated that DVA clients comprised less than 1 per cent of clients with a GP mental health treatment plan. The DVA, AIHW and DOHA have been working collaboratively to achieve alignment of DVA and MBS data and it is anticipated that DVA data will be included in this PI for the next reporting cycle.</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(SMHWB)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by three major disorder groups — Anxiety disorders (eg Social Phobia), Affective disorders (eg Depression) and Substance Use disorders (eg Alcohol Harmful Use). It does not capture low-prevalence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Treatment Plan (MBS items 2702 and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sex-specific rates of persons with any 12 month mental disorder from the 2007 Survey of Mental Health and Wellbeing to the 30 June 2009 ERPs in various strata (SEIFA quintiles, remoteness, etc). This methodology assumes that age and sex-specific rates of persons with a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of 1 July 2009 a diagnosis of mental illness was required to access these plans, and the item name changed to GP Mental Health Treatment Plan. During 2008-09, a diagnosis of mental illness was not required to access a GP Mental Health Care Plan. Therefore 2008-09 and 2009-10 data are not directly comparable.</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As both of these items relate to the preparation of a GP mental health treatment plan they are both included in 2009-10 data.</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85fb804dc4056">
              <w:r>
                <w:rPr>
                  <w:rStyle w:val="Hyperlink"/>
                </w:rPr>
                <w:t xml:space="preserve">National Healthcare Agreement: P32-Proportion of people with mental illness with GP care plans, 2010 QS</w:t>
              </w:r>
            </w:hyperlink>
          </w:p>
          <w:p>
            <w:pPr>
              <w:spacing w:before="0" w:after="0"/>
            </w:pPr>
            <w:r>
              <w:rPr>
                <w:rStyle w:val="row-content"/>
                <w:color w:val="244061"/>
              </w:rPr>
              <w:t xml:space="preserve">       </w:t>
            </w:r>
            <w:hyperlink w:history="true" r:id="R130b3b745e5f456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d4979396c5f4062">
              <w:r>
                <w:rPr>
                  <w:rStyle w:val="Hyperlink"/>
                </w:rPr>
                <w:t xml:space="preserve">National Healthcare Agreement: PI 32-Proportion of people with a mental illness with GP treatment plans, 2012 QS</w:t>
              </w:r>
            </w:hyperlink>
          </w:p>
          <w:p>
            <w:pPr>
              <w:spacing w:before="0" w:after="0"/>
            </w:pPr>
            <w:r>
              <w:rPr>
                <w:rStyle w:val="row-content"/>
                <w:color w:val="244061"/>
              </w:rPr>
              <w:t xml:space="preserve">       </w:t>
            </w:r>
            <w:hyperlink w:history="true" r:id="R16c6bbb748f6447f">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378d5a16c794ed1">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1d80dc678cfa48a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f47dc50268f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da4530198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7dc50268f419c" /><Relationship Type="http://schemas.openxmlformats.org/officeDocument/2006/relationships/header" Target="/word/header1.xml" Id="Rbc353ea7f3ef4196" /><Relationship Type="http://schemas.openxmlformats.org/officeDocument/2006/relationships/settings" Target="/word/settings.xml" Id="Rd105d1d06d114aed" /><Relationship Type="http://schemas.openxmlformats.org/officeDocument/2006/relationships/styles" Target="/word/styles.xml" Id="R11a07feada5a4a64" /><Relationship Type="http://schemas.openxmlformats.org/officeDocument/2006/relationships/hyperlink" Target="https://meteor.aihw.gov.au/RegistrationAuthority/12" TargetMode="External" Id="Re567bd874d644b60" /><Relationship Type="http://schemas.openxmlformats.org/officeDocument/2006/relationships/numbering" Target="/word/numbering.xml" Id="Rae8f272a370648bf" /><Relationship Type="http://schemas.openxmlformats.org/officeDocument/2006/relationships/hyperlink" Target="http://www.health.gov.au/internet/main/publishing.nsf/Content/Medicare+S" TargetMode="External" Id="Recc8b97eba5d4505" /><Relationship Type="http://schemas.openxmlformats.org/officeDocument/2006/relationships/hyperlink" Target="https://www.medicareaustralia.gov.au/statistics/mbs_item.shtml" TargetMode="External" Id="Rf7d418b1eac041db" /><Relationship Type="http://schemas.openxmlformats.org/officeDocument/2006/relationships/hyperlink" Target="http://www.abs.gov.au/ausstats/abs@.nsf/PrimaryMainFeatures/4327.0?OpenDocument" TargetMode="External" Id="Ra8131ee17a5b4829" /><Relationship Type="http://schemas.openxmlformats.org/officeDocument/2006/relationships/hyperlink" Target="http://www.abs.gov.au/ausstats/abs@.nsf/PrimaryMainFeatures/4326.0?OpenDocument" TargetMode="External" Id="R1be6d9eb246e4774" /><Relationship Type="http://schemas.openxmlformats.org/officeDocument/2006/relationships/hyperlink" Target="http://www.health.gov.au/internet/mbsonline/publishing.nsf/content/medica" TargetMode="External" Id="R09da292cefb5496b" /><Relationship Type="http://schemas.openxmlformats.org/officeDocument/2006/relationships/hyperlink" Target="https://meteor.aihw.gov.au/content/392823" TargetMode="External" Id="R50b85fb804dc4056" /><Relationship Type="http://schemas.openxmlformats.org/officeDocument/2006/relationships/hyperlink" Target="https://meteor.aihw.gov.au/RegistrationAuthority/12" TargetMode="External" Id="R130b3b745e5f456e" /><Relationship Type="http://schemas.openxmlformats.org/officeDocument/2006/relationships/hyperlink" Target="https://meteor.aihw.gov.au/content/500222" TargetMode="External" Id="R6d4979396c5f4062" /><Relationship Type="http://schemas.openxmlformats.org/officeDocument/2006/relationships/hyperlink" Target="https://meteor.aihw.gov.au/RegistrationAuthority/12" TargetMode="External" Id="R16c6bbb748f6447f" /><Relationship Type="http://schemas.openxmlformats.org/officeDocument/2006/relationships/hyperlink" Target="https://meteor.aihw.gov.au/content/421627" TargetMode="External" Id="R8378d5a16c794ed1" /><Relationship Type="http://schemas.openxmlformats.org/officeDocument/2006/relationships/hyperlink" Target="https://meteor.aihw.gov.au/RegistrationAuthority/12" TargetMode="External" Id="R1d80dc678cfa48aa" /></Relationships>
</file>

<file path=word/_rels/header1.xml.rels>&#65279;<?xml version="1.0" encoding="utf-8"?><Relationships xmlns="http://schemas.openxmlformats.org/package/2006/relationships"><Relationship Type="http://schemas.openxmlformats.org/officeDocument/2006/relationships/image" Target="/media/image.png" Id="R503da453019846f8" /></Relationships>
</file>