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bde3aff2e64d8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 Specialist services,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 Specialist services,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c8361079e4ae3">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is a proxy measure for the indicator as it only includes specialist services reimbursed through the Medicare system (for out-of-hospital private patients) and not specialist services provided in public hospital outpatient and other settings (which are not reimbursed through the Medicare system).</w:t>
            </w:r>
          </w:p>
          <w:p>
            <w:pPr>
              <w:pStyle w:val="ListParagraph"/>
              <w:numPr>
                <w:ilvl w:val="0"/>
                <w:numId w:val="2"/>
              </w:numPr>
            </w:pPr>
            <w:r>
              <w:rPr>
                <w:rStyle w:val="row-content-rich-text"/>
              </w:rPr>
              <w:t xml:space="preserve">This measure does not reflect total Medicare-reimbursed specialist activity as it excludes specialist services provided to hospital inpatients (and reimbursed through the Medicare system).</w:t>
            </w:r>
          </w:p>
          <w:p>
            <w:pPr>
              <w:pStyle w:val="ListParagraph"/>
              <w:numPr>
                <w:ilvl w:val="0"/>
                <w:numId w:val="2"/>
              </w:numPr>
            </w:pPr>
            <w:r>
              <w:rPr>
                <w:rStyle w:val="row-content-rich-text"/>
              </w:rPr>
              <w:t xml:space="preserve">Medicare data presented by Indigenous status have been adjusted for under-identification in the Medicare Australia Voluntary Indigenous Identifier (VII) database.</w:t>
            </w:r>
          </w:p>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and has accurate data on the number of services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MBS claims data are an administrative by-product of Medicare environment Australia’s administration of the Medicare fee-for-service payment systems. Medicare Australia collects the MBS data under the Medicare Australia Act 1973. The data are then regularly provided to the Department of Health and Ageing.</w:t>
            </w:r>
          </w:p>
          <w:p>
            <w:pPr/>
            <w:r>
              <w:rPr>
                <w:rStyle w:val="row-content-rich-text"/>
              </w:rPr>
              <w:t xml:space="preserve">The tables for this indicator were prepared by the Department of Health and Ageing and quality-assessed by the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2009-10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r>
              <w:br/>
            </w:r>
          </w:p>
          <w:p>
            <w:hyperlink w:history="true" r:id="Rdfce3d1d9d974e79">
              <w:r>
                <w:rPr>
                  <w:rStyle w:val="Hyperlink"/>
                </w:rPr>
                <w:t xml:space="preserve">https://www.medicareaustralia.gov.au/statistics/mbs_item.shtml</w:t>
              </w:r>
            </w:hyperlink>
            <w:r>
              <w:br/>
            </w:r>
            <w:r>
              <w:rPr>
                <w:rStyle w:val="row-content-rich-text"/>
              </w:rPr>
              <w:t xml:space="preserve">Disaggregation by SEIFA and remoteness areas are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services subsidised through Medicare is available from the Medicare Benefits Schedule online:</w:t>
            </w:r>
            <w:r>
              <w:br/>
            </w:r>
          </w:p>
          <w:p>
            <w:hyperlink w:history="true" r:id="Rb5544d73463848e5">
              <w:r>
                <w:rPr>
                  <w:rStyle w:val="Hyperlink"/>
                </w:rPr>
                <w:t xml:space="preserve">http://www.health.gov.au/internet/mbsonline/publishing.nsf/content/medica</w:t>
              </w:r>
            </w:hyperlink>
            <w:r>
              <w:rPr>
                <w:rStyle w:val="row-content-rich-text"/>
              </w:rPr>
              <w:t xml:space="preserve"> re-benefits-schedule-mbs-1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Medicare services. This is a proxy measure for the indicator as it only includes specialist services reimbursed through the Medicare system (for out-of-hospital private patients) and not specialist services provided in public hospital outpatient and other settings (which are not reimbursed through the Medicare system).</w:t>
            </w:r>
          </w:p>
          <w:p>
            <w:pPr>
              <w:spacing w:after="160"/>
            </w:pPr>
            <w:r>
              <w:rPr>
                <w:rStyle w:val="row-content-rich-text"/>
              </w:rPr>
              <w:t xml:space="preserve">This measure does not reflect total Medicare-reimbursed specialist activity as it excludes specialist services provided to hospital inpatients (and reimbursed through the Medicare system).</w:t>
            </w:r>
          </w:p>
          <w:p>
            <w:pPr>
              <w:spacing w:after="160"/>
            </w:pPr>
            <w:r>
              <w:rPr>
                <w:rStyle w:val="row-content-rich-text"/>
              </w:rPr>
              <w:t xml:space="preserve">The analyses by State/Territory, remoteness and SEIFA are based on postcode of residence of the client as recorded by Medicare Australia at the date of last service received in the reference period. As clients may receive services in locations other than where they live, data does not necessarily reflect the location in which services were received. Further, all MBS services received by clients who moved residences during the reference period are allocated to the postcode of their address at the date the last service was received.</w:t>
            </w:r>
          </w:p>
          <w:p>
            <w:pPr/>
            <w:r>
              <w:rPr>
                <w:rStyle w:val="row-content-rich-text"/>
              </w:rPr>
              <w:t xml:space="preserve">This measure does not include claims that are reimbursed through the Department of Veterans’ Affairs (DVA). For 2009-10, it is estimated that DVA services comprised less than 8 per cent of Australian Government (MBS and DVA-reimbursed) specialist services. The DVA, AIHW and DOHA have been working collaboratively to achieve alignment of DVA and MBS data and it is anticipated that DVA data will be included in this PI for the next reporting cycle.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Financial-year data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r>
              <w:rPr>
                <w:rStyle w:val="row-content-rich-text"/>
              </w:rPr>
              <w:t xml:space="preserve">Medicare data presented by Indigenous status have been adjusted for under-identification in the Medicare Australia Voluntary Indigenous Identifier (VII) database. Indigenous rates are therefore modelled and should be interpreted with caution. These statistics are not derived from the total Australian Indigenous population, but from those Aboriginal and Torres Strait Islander people who have voluntarily identified as Indigenous to Medicare Australia. The statistics have been adjusted to reflect demographic characteristics of the overall Indigenous population, but this adjustment may not address all the differences in the service use patterns of the enrolled population relative to the total Indigenous population. The level of VII enrolment (50 per cent nationally as at August 2010) varies across age-sex-remoteness-State/Territory sub-groups and over time which means that the extent of adjustment required varies across jurisdictions and over time. The methodology for this adjustment was developed and verified by the AIHW and the Department of Health and Ageing for assessment of MBS and PBS service use and expenditure for Indigenous Australians. For an explanation of the methodology, see Expenditure on health for Aboriginal and Torres Strait Islander people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to construct the measures are consistently collected, comparable, and support assessment of annual change. They are consistent with service numbers published by Medicare.</w:t>
            </w:r>
            <w:r>
              <w:br/>
            </w:r>
            <w:r>
              <w:rPr>
                <w:rStyle w:val="row-content-rich-text"/>
              </w:rPr>
              <w:t xml:space="preserve">Caution should be taken when interpreting Indigenous rates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643c1b53b24507">
              <w:r>
                <w:rPr>
                  <w:rStyle w:val="Hyperlink"/>
                </w:rPr>
                <w:t xml:space="preserve">National Healthcare Agreement: P25-Specialist services claimed through Medicare, 2010 QS</w:t>
              </w:r>
            </w:hyperlink>
          </w:p>
          <w:p>
            <w:pPr>
              <w:spacing w:before="0" w:after="0"/>
            </w:pPr>
            <w:r>
              <w:rPr>
                <w:rStyle w:val="row-content"/>
                <w:color w:val="244061"/>
              </w:rPr>
              <w:t xml:space="preserve">       </w:t>
            </w:r>
            <w:hyperlink w:history="true" r:id="Rdb103a8895854ec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4158bc987e484a18">
              <w:r>
                <w:rPr>
                  <w:rStyle w:val="Hyperlink"/>
                </w:rPr>
                <w:t xml:space="preserve">National Healthcare Agreement: PI 25-Specialist services, 2012 QS</w:t>
              </w:r>
            </w:hyperlink>
          </w:p>
          <w:p>
            <w:pPr>
              <w:spacing w:before="0" w:after="0"/>
            </w:pPr>
            <w:r>
              <w:rPr>
                <w:rStyle w:val="row-content"/>
                <w:color w:val="244061"/>
              </w:rPr>
              <w:t xml:space="preserve">       </w:t>
            </w:r>
            <w:hyperlink w:history="true" r:id="R7cd9eea817804609">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c254f87b9314657">
              <w:r>
                <w:rPr>
                  <w:rStyle w:val="Hyperlink"/>
                </w:rPr>
                <w:t xml:space="preserve">National Healthcare Agreement: PI 25-Specialist services, 2011</w:t>
              </w:r>
            </w:hyperlink>
          </w:p>
          <w:p>
            <w:pPr>
              <w:spacing w:before="0" w:after="0"/>
            </w:pPr>
            <w:r>
              <w:rPr>
                <w:rStyle w:val="row-content"/>
                <w:color w:val="244061"/>
              </w:rPr>
              <w:t xml:space="preserve">       </w:t>
            </w:r>
            <w:hyperlink w:history="true" r:id="R4c4ca7efe9ce40a7">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ea3fdc9d14444d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b7a3f77efb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fdc9d14444d51" /><Relationship Type="http://schemas.openxmlformats.org/officeDocument/2006/relationships/header" Target="/word/header1.xml" Id="R72dc8abe547e4713" /><Relationship Type="http://schemas.openxmlformats.org/officeDocument/2006/relationships/settings" Target="/word/settings.xml" Id="R323115ffdec3450e" /><Relationship Type="http://schemas.openxmlformats.org/officeDocument/2006/relationships/styles" Target="/word/styles.xml" Id="Rcd22b2647ab94578" /><Relationship Type="http://schemas.openxmlformats.org/officeDocument/2006/relationships/hyperlink" Target="https://meteor.aihw.gov.au/RegistrationAuthority/12" TargetMode="External" Id="R637c8361079e4ae3" /><Relationship Type="http://schemas.openxmlformats.org/officeDocument/2006/relationships/numbering" Target="/word/numbering.xml" Id="R333c1088164d4306" /><Relationship Type="http://schemas.openxmlformats.org/officeDocument/2006/relationships/hyperlink" Target="https://www.medicareaustralia.gov.au/statistics/mbs_item.shtml" TargetMode="External" Id="Rdfce3d1d9d974e79" /><Relationship Type="http://schemas.openxmlformats.org/officeDocument/2006/relationships/hyperlink" Target="http://www.health.gov.au/internet/mbsonline/publishing.nsf/content/medica" TargetMode="External" Id="Rb5544d73463848e5" /><Relationship Type="http://schemas.openxmlformats.org/officeDocument/2006/relationships/hyperlink" Target="https://meteor.aihw.gov.au/content/392656" TargetMode="External" Id="Ra7643c1b53b24507" /><Relationship Type="http://schemas.openxmlformats.org/officeDocument/2006/relationships/hyperlink" Target="https://meteor.aihw.gov.au/RegistrationAuthority/12" TargetMode="External" Id="Rdb103a8895854eca" /><Relationship Type="http://schemas.openxmlformats.org/officeDocument/2006/relationships/hyperlink" Target="https://meteor.aihw.gov.au/content/500445" TargetMode="External" Id="R4158bc987e484a18" /><Relationship Type="http://schemas.openxmlformats.org/officeDocument/2006/relationships/hyperlink" Target="https://meteor.aihw.gov.au/RegistrationAuthority/12" TargetMode="External" Id="R7cd9eea817804609" /><Relationship Type="http://schemas.openxmlformats.org/officeDocument/2006/relationships/hyperlink" Target="https://meteor.aihw.gov.au/content/421642" TargetMode="External" Id="Rac254f87b9314657" /><Relationship Type="http://schemas.openxmlformats.org/officeDocument/2006/relationships/hyperlink" Target="https://meteor.aihw.gov.au/RegistrationAuthority/12" TargetMode="External" Id="R4c4ca7efe9ce40a7" /></Relationships>
</file>

<file path=word/_rels/header1.xml.rels>&#65279;<?xml version="1.0" encoding="utf-8"?><Relationships xmlns="http://schemas.openxmlformats.org/package/2006/relationships"><Relationship Type="http://schemas.openxmlformats.org/officeDocument/2006/relationships/image" Target="/media/image.png" Id="Rb9b7a3f77efb4eee" /></Relationships>
</file>