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e328c5da0345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 GP-type services,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 GP-type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8f64bfe534e7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Medicare data presented by Indigenous status have been adjusted for under-identification in the Medicare Australia Voluntary Indigenous Identifier (VII) database.</w:t>
            </w:r>
          </w:p>
          <w:p>
            <w:pPr>
              <w:pStyle w:val="ListParagraph"/>
              <w:numPr>
                <w:ilvl w:val="0"/>
                <w:numId w:val="2"/>
              </w:numPr>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w:t>
            </w:r>
          </w:p>
          <w:p>
            <w:pPr>
              <w:pStyle w:val="ListParagraph"/>
              <w:numPr>
                <w:ilvl w:val="0"/>
                <w:numId w:val="2"/>
              </w:numPr>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The data are then regularly provided to the Department of Health and Ageing.</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2009-10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r>
              <w:br/>
            </w:r>
          </w:p>
          <w:p>
            <w:hyperlink w:history="true" r:id="R6d2e85dea58a4508">
              <w:r>
                <w:rPr>
                  <w:rStyle w:val="Hyperlink"/>
                </w:rPr>
                <w:t xml:space="preserve">https://www.medicareaustralia.gov.au/statistics/mbs_item.shtml</w:t>
              </w:r>
            </w:hyperlink>
            <w:r>
              <w:br/>
            </w:r>
            <w:r>
              <w:rPr>
                <w:rStyle w:val="row-content-rich-text"/>
              </w:rPr>
              <w:t xml:space="preserve">Disaggregation by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the Medicare Benefits Schedule online:</w:t>
            </w:r>
            <w:r>
              <w:br/>
            </w:r>
          </w:p>
          <w:p>
            <w:hyperlink w:history="true" r:id="R38f44ea393aa4adc">
              <w:r>
                <w:rPr>
                  <w:rStyle w:val="Hyperlink"/>
                </w:rPr>
                <w:t xml:space="preserve">http://www.health.gov.au/internet/mbsonline/publishing.nsf/content/medica</w:t>
              </w:r>
            </w:hyperlink>
            <w:r>
              <w:rPr>
                <w:rStyle w:val="row-content-rich-text"/>
              </w:rPr>
              <w:t xml:space="preserve"> re-benefits-schedule-mbs-1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w:t>
            </w:r>
          </w:p>
          <w:p>
            <w:pPr>
              <w:spacing w:after="160"/>
            </w:pPr>
            <w:r>
              <w:rPr>
                <w:rStyle w:val="row-content-rich-text"/>
              </w:rPr>
              <w:t xml:space="preserve">The 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residences during the reference period are allocated to the postcode of their address at the date the last service was received.</w:t>
            </w:r>
          </w:p>
          <w:p>
            <w:pPr/>
            <w:r>
              <w:rPr>
                <w:rStyle w:val="row-content-rich-text"/>
              </w:rPr>
              <w:t xml:space="preserve">This measure does not include claims that are reimbursed through the Department of Veterans’ Affairs (DVA). For 2009-10, it is estimated that DVA services comprised less than 3 per cent of Australian Government (MBS and DVA-reimbursed) GP-type services. The DVA, AIHW and DOHA have been working collaboratively to achieve alignment of DVA and MBS data and it is anticipated that DVA data will be included in this PI for the next reporting cycle.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 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r>
              <w:rPr>
                <w:rStyle w:val="row-content-rich-text"/>
              </w:rPr>
              <w:t xml:space="preserve">Medicare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(50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the Department of Health and Ageing for assessment of MBS and PBS service use and expenditure for Indigenous Australians. For an explanation of the methodology, see Expenditure on health for Aboriginal and Torres Strait Islander people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the measures are consistently collected, comparable, and support assessment of annual change. They are consistent with service numbers published by Medicare.</w:t>
            </w:r>
            <w:r>
              <w:br/>
            </w:r>
            <w:r>
              <w:rPr>
                <w:rStyle w:val="row-content-rich-text"/>
              </w:rPr>
              <w:t xml:space="preserve">Caution should be taken when interpreting Indigenous rates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b65d900d4749cd">
              <w:r>
                <w:rPr>
                  <w:rStyle w:val="Hyperlink"/>
                </w:rPr>
                <w:t xml:space="preserve">National Healthcare Agreement: P24-GP-type services, 2010 QS</w:t>
              </w:r>
            </w:hyperlink>
          </w:p>
          <w:p>
            <w:pPr>
              <w:spacing w:before="0" w:after="0"/>
            </w:pPr>
            <w:r>
              <w:rPr>
                <w:rStyle w:val="row-content"/>
                <w:color w:val="244061"/>
              </w:rPr>
              <w:t xml:space="preserve">       </w:t>
            </w:r>
            <w:hyperlink w:history="true" r:id="R112304a673b34f6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9cf8777879d415c">
              <w:r>
                <w:rPr>
                  <w:rStyle w:val="Hyperlink"/>
                </w:rPr>
                <w:t xml:space="preserve">National Healthcare Agreement: PI 24-GP-type services, 2012 QS</w:t>
              </w:r>
            </w:hyperlink>
          </w:p>
          <w:p>
            <w:pPr>
              <w:spacing w:before="0" w:after="0"/>
            </w:pPr>
            <w:r>
              <w:rPr>
                <w:rStyle w:val="row-content"/>
                <w:color w:val="244061"/>
              </w:rPr>
              <w:t xml:space="preserve">       </w:t>
            </w:r>
            <w:hyperlink w:history="true" r:id="R92c1e2e8f196428f">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93a80d624b444f5">
              <w:r>
                <w:rPr>
                  <w:rStyle w:val="Hyperlink"/>
                </w:rPr>
                <w:t xml:space="preserve">National Healthcare Agreement: PI 24-GP-type services, 2011</w:t>
              </w:r>
            </w:hyperlink>
          </w:p>
          <w:p>
            <w:pPr>
              <w:spacing w:before="0" w:after="0"/>
            </w:pPr>
            <w:r>
              <w:rPr>
                <w:rStyle w:val="row-content"/>
                <w:color w:val="244061"/>
              </w:rPr>
              <w:t xml:space="preserve">       </w:t>
            </w:r>
            <w:hyperlink w:history="true" r:id="R7643d3d87e564c1d">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95926686f45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769979d37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926686f4542f7" /><Relationship Type="http://schemas.openxmlformats.org/officeDocument/2006/relationships/header" Target="/word/header1.xml" Id="R0d4fd79df32a40f5" /><Relationship Type="http://schemas.openxmlformats.org/officeDocument/2006/relationships/settings" Target="/word/settings.xml" Id="R35ce51f38fdf4302" /><Relationship Type="http://schemas.openxmlformats.org/officeDocument/2006/relationships/styles" Target="/word/styles.xml" Id="Rdcc60671902f42fb" /><Relationship Type="http://schemas.openxmlformats.org/officeDocument/2006/relationships/hyperlink" Target="https://meteor.aihw.gov.au/RegistrationAuthority/12" TargetMode="External" Id="R62c8f64bfe534e75" /><Relationship Type="http://schemas.openxmlformats.org/officeDocument/2006/relationships/numbering" Target="/word/numbering.xml" Id="Rb1d6a60bf1604846" /><Relationship Type="http://schemas.openxmlformats.org/officeDocument/2006/relationships/hyperlink" Target="https://www.medicareaustralia.gov.au/statistics/mbs_item.shtml" TargetMode="External" Id="R6d2e85dea58a4508" /><Relationship Type="http://schemas.openxmlformats.org/officeDocument/2006/relationships/hyperlink" Target="http://www.health.gov.au/internet/mbsonline/publishing.nsf/content/medica" TargetMode="External" Id="R38f44ea393aa4adc" /><Relationship Type="http://schemas.openxmlformats.org/officeDocument/2006/relationships/hyperlink" Target="https://meteor.aihw.gov.au/content/392654" TargetMode="External" Id="R39b65d900d4749cd" /><Relationship Type="http://schemas.openxmlformats.org/officeDocument/2006/relationships/hyperlink" Target="https://meteor.aihw.gov.au/RegistrationAuthority/12" TargetMode="External" Id="R112304a673b34f6a" /><Relationship Type="http://schemas.openxmlformats.org/officeDocument/2006/relationships/hyperlink" Target="https://meteor.aihw.gov.au/content/500447" TargetMode="External" Id="R29cf8777879d415c" /><Relationship Type="http://schemas.openxmlformats.org/officeDocument/2006/relationships/hyperlink" Target="https://meteor.aihw.gov.au/RegistrationAuthority/12" TargetMode="External" Id="R92c1e2e8f196428f" /><Relationship Type="http://schemas.openxmlformats.org/officeDocument/2006/relationships/hyperlink" Target="https://meteor.aihw.gov.au/content/421644" TargetMode="External" Id="R893a80d624b444f5" /><Relationship Type="http://schemas.openxmlformats.org/officeDocument/2006/relationships/hyperlink" Target="https://meteor.aihw.gov.au/RegistrationAuthority/12" TargetMode="External" Id="R7643d3d87e564c1d" /></Relationships>
</file>

<file path=word/_rels/header1.xml.rels>&#65279;<?xml version="1.0" encoding="utf-8"?><Relationships xmlns="http://schemas.openxmlformats.org/package/2006/relationships"><Relationship Type="http://schemas.openxmlformats.org/officeDocument/2006/relationships/image" Target="/media/image.png" Id="Raef769979d37459b" /></Relationships>
</file>