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cc94e80334c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 for mental illness,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 for mental illness,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932d7570a40c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public sector community mental health services (Public) data: There is varying and, in some instances, unknown quality of Indigenous identification across jurisdictions. The Other Australians category includes contacts where Indigenous status was missing or not reported (around 11 per cent of all clients)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Persons can receive services from more than one type of these service providers during the period. The extent to which this occurs is unknown. However, it is likely that there is considerable overlap between the private data and the MBS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 so using these numbers to provide a count of individuals receiving services is cautioned.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prepared the denominator and calculated the indicator based</w:t>
            </w:r>
            <w:r>
              <w:br/>
            </w:r>
            <w:r>
              <w:rPr>
                <w:rStyle w:val="row-content-rich-text"/>
              </w:rPr>
              <w:t xml:space="preserve">environment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and DoHA and quality-assessed by the AIHW. The AIHW drafted the initial data quality statement. The statement was finalised by AIHW following input from State and Territory health authorities, PMHA, and DoHA.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MBS data</w:t>
            </w:r>
          </w:p>
          <w:p>
            <w:pPr/>
            <w:r>
              <w:rPr>
                <w:rStyle w:val="row-content-rich-text"/>
              </w:rPr>
              <w:t xml:space="preserve">Medicare Australia collects the MBS data under the Medicare Australia Act 1973. These data are then regularly provided to DoHA. The MBS claims data are an administrative by-product of Medicare Australia administering the Medicare fee-for-service payment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Mental Health — progress report 2008-09. Medicare claims statistics are available at:</w:t>
            </w:r>
            <w:r>
              <w:br/>
            </w:r>
          </w:p>
          <w:p>
            <w:hyperlink w:history="true" r:id="Rc6c052c0ef4242ba">
              <w:r>
                <w:rPr>
                  <w:rStyle w:val="Hyperlink"/>
                </w:rPr>
                <w:t xml:space="preserve">http://www.health.gov.au/internet/main/publishing.nsf/Content/Medicare+Statistics-1</w:t>
              </w:r>
            </w:hyperlink>
            <w:r>
              <w:rPr>
                <w:rStyle w:val="row-content-rich-text"/>
              </w:rPr>
              <w:t xml:space="preserve"> https://www.medicareaustralia.gov.au/statistics/mbs_item.shtml</w:t>
            </w:r>
            <w:r>
              <w:br/>
            </w: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r>
              <w:br/>
            </w:r>
          </w:p>
          <w:p>
            <w:hyperlink w:history="true" r:id="R3f72bd5b5a0141b0">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p>
          <w:p>
            <w:pPr>
              <w:pStyle w:val="ListParagraph"/>
              <w:numPr>
                <w:ilvl w:val="0"/>
                <w:numId w:val="3"/>
              </w:numPr>
            </w:pPr>
            <w:r>
              <w:rPr>
                <w:rStyle w:val="row-content-rich-text"/>
              </w:rPr>
              <w:t xml:space="preserve">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MBS data and private data, as most patients accessing private hospital services would access MBS items in association with the private hospital service.</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and Tasmania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MBS data</w:t>
            </w:r>
          </w:p>
          <w:p>
            <w:pPr>
              <w:spacing w:after="160"/>
            </w:pPr>
            <w:r>
              <w:rPr>
                <w:rStyle w:val="row-content-rich-text"/>
              </w:rPr>
              <w:t xml:space="preserve">MBS data are counts of individuals receiving mental health-specific Medicare services for which claims data are available.</w:t>
            </w:r>
          </w:p>
          <w:p>
            <w:pPr>
              <w:spacing w:after="160"/>
            </w:pPr>
            <w:r>
              <w:rPr>
                <w:rStyle w:val="row-content-rich-text"/>
              </w:rPr>
              <w:t xml:space="preserve">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This measure does not include claims that are reimbursed through the Department of Veterans’ Affairs (DVA). For 2008-09, it is estimated that DVA clients comprised less than 2 per cent of people receiving Australian Government (MBS- and DVA-reimbursed) clinical mental-health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patients where Indigenous status was missing or not reported (around 11 per cent of all clients).</w:t>
            </w:r>
          </w:p>
          <w:p>
            <w:pPr>
              <w:spacing w:after="160"/>
            </w:pPr>
            <w:r>
              <w:rPr>
                <w:rStyle w:val="row-content-rich-text"/>
              </w:rPr>
              <w:t xml:space="preserve">There is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Disaggregation by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CDMS.</w:t>
            </w:r>
          </w:p>
          <w:p>
            <w:pPr>
              <w:spacing w:after="160"/>
            </w:pPr>
            <w:r>
              <w:rPr>
                <w:rStyle w:val="row-content-rich-text"/>
              </w:rPr>
              <w:t xml:space="preserve">Those that are included account for approximately 75 per cent of all activity in the sector. The data provided are an estimate of overall activity.</w:t>
            </w:r>
          </w:p>
          <w:p>
            <w:pPr>
              <w:spacing w:after="160"/>
            </w:pPr>
            <w:r>
              <w:rPr>
                <w:rStyle w:val="row-content-rich-text"/>
              </w:rPr>
              <w:t xml:space="preserve">Actual counts are multiplied by a factor that accounts for the proportion of data missing from the CDMS collection. That adjustment is performed at the level of State and Territory, since non-participation rates varied between jurisdictions.</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MBS service are counted once only in the calculations for this indicator.</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There has been no major change to the methodology used to collect the data in 2008-09 for the majority of jurisdictions, therefore their data is comparable to 2007-08. However New South Wales has recently implemented a state wide unique patient identifier for mental health care. During this phase of implementation, New South Wales has indicated that there are differences in the completeness of coverage between areas and over time.</w:t>
            </w:r>
          </w:p>
          <w:p>
            <w:pPr>
              <w:spacing w:after="160"/>
            </w:pPr>
            <w:r>
              <w:rPr>
                <w:rStyle w:val="row-content-rich-text"/>
              </w:rPr>
              <w:t xml:space="preserve">South Australia has also advised that in 2008-09 several services spread across metropolitan Adelaide were consolidated into a single service located in a "least disadvantaged" area (SEIFA quintile 5). As a result this quintile is now reporting the highest age standardised rate of mental health illness.</w:t>
            </w:r>
          </w:p>
          <w:p>
            <w:pPr>
              <w:spacing w:after="160"/>
            </w:pPr>
            <w:r>
              <w:rPr>
                <w:rStyle w:val="row-content-rich-text"/>
              </w:rPr>
              <w:t xml:space="preserve">Additionally, due to system-related issues impacting data quality, Tasmania is unable to provide data by remoteness and socioeconomic status for 2008-09.</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2008-09. Therefore, the data is comparable to 2007-08.</w:t>
            </w:r>
          </w:p>
          <w:p>
            <w:pPr>
              <w:spacing w:after="160"/>
            </w:pPr>
            <w:r>
              <w:rPr>
                <w:rStyle w:val="row-content-rich-text"/>
                <w:u w:val="single"/>
              </w:rPr>
              <w:t xml:space="preserve">MBS data</w:t>
            </w:r>
          </w:p>
          <w:p>
            <w:pPr>
              <w:spacing w:after="160"/>
            </w:pPr>
            <w:r>
              <w:rPr>
                <w:rStyle w:val="row-content-rich-text"/>
              </w:rPr>
              <w:t xml:space="preserve">The same methodology to attribute demographic information to MBS data has been used in 2008-09 as in previous data.</w:t>
            </w:r>
          </w:p>
          <w:p>
            <w:pPr>
              <w:spacing w:after="160"/>
            </w:pPr>
            <w:r>
              <w:rPr>
                <w:rStyle w:val="row-content-rich-text"/>
              </w:rPr>
              <w:t xml:space="preserve">There were no changes in items selected in 2008-09 compared to the previous period.</w:t>
            </w:r>
          </w:p>
          <w:p>
            <w:pPr>
              <w:spacing w:after="160"/>
            </w:pPr>
            <w:r>
              <w:rPr>
                <w:rStyle w:val="row-content-rich-text"/>
              </w:rPr>
              <w:t xml:space="preserve">The AIHW publication series Mental health services in Australia contains data that is comparable in coverage (using different MBS item splits) and includes a summary of MBS mental health-related items.</w:t>
            </w:r>
          </w:p>
          <w:p>
            <w:pPr>
              <w:spacing w:after="160"/>
            </w:pPr>
            <w:r>
              <w:rPr>
                <w:rStyle w:val="row-content-rich-text"/>
              </w:rPr>
              <w:t xml:space="preserve">The data used in this indicator are also published in the COAG National Action Plan on Mental Health — progress report 2008-09. There may be some differences between the data published in these two sources as in the COAG National Action Plan on Mental Health — progress report 2008-09:</w:t>
            </w:r>
          </w:p>
          <w:p>
            <w:pPr>
              <w:pStyle w:val="ListParagraph"/>
              <w:numPr>
                <w:ilvl w:val="0"/>
                <w:numId w:val="4"/>
              </w:numPr>
            </w:pPr>
            <w:r>
              <w:rPr>
                <w:rStyle w:val="row-content-rich-text"/>
              </w:rPr>
              <w:t xml:space="preserve">rates may be calculated using different ERPs other than the June 2008 ERPs used for this indicator,</w:t>
            </w:r>
          </w:p>
          <w:p>
            <w:pPr>
              <w:pStyle w:val="ListParagraph"/>
              <w:numPr>
                <w:ilvl w:val="0"/>
                <w:numId w:val="4"/>
              </w:numPr>
            </w:pPr>
            <w:r>
              <w:rPr>
                <w:rStyle w:val="row-content-rich-text"/>
              </w:rPr>
              <w:t xml:space="preserve">the 2008-09 figures are based on preliminary data for the public and private sectors and may not cover the full financial year,</w:t>
            </w:r>
          </w:p>
          <w:p>
            <w:pPr>
              <w:pStyle w:val="ListParagraph"/>
              <w:numPr>
                <w:ilvl w:val="0"/>
                <w:numId w:val="4"/>
              </w:numPr>
            </w:pPr>
            <w:r>
              <w:rPr>
                <w:rStyle w:val="row-content-rich-text"/>
              </w:rPr>
              <w:t xml:space="preserve">MBS numbers are extracted using a different methodology. The COAG National Action Plan on Mental Health — progress report 2008-09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National Healthcare Agreement: Baseline performance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771a7e04ea4a81">
              <w:r>
                <w:rPr>
                  <w:rStyle w:val="Hyperlink"/>
                </w:rPr>
                <w:t xml:space="preserve">National Healthcare Agreement: P21-Treatment rates for mental illness, 2010 QS</w:t>
              </w:r>
            </w:hyperlink>
          </w:p>
          <w:p>
            <w:pPr>
              <w:spacing w:before="0" w:after="0"/>
            </w:pPr>
            <w:r>
              <w:rPr>
                <w:rStyle w:val="row-content"/>
                <w:color w:val="244061"/>
              </w:rPr>
              <w:t xml:space="preserve">       </w:t>
            </w:r>
            <w:hyperlink w:history="true" r:id="R06c288bf45fd4e1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e0599d4ebd24d1b">
              <w:r>
                <w:rPr>
                  <w:rStyle w:val="Hyperlink"/>
                </w:rPr>
                <w:t xml:space="preserve">National Healthcare Agreement: PI 21-Treatment rate for mental illness, 2012 QS</w:t>
              </w:r>
            </w:hyperlink>
          </w:p>
          <w:p>
            <w:pPr>
              <w:spacing w:before="0" w:after="0"/>
            </w:pPr>
            <w:r>
              <w:rPr>
                <w:rStyle w:val="row-content"/>
                <w:color w:val="244061"/>
              </w:rPr>
              <w:t xml:space="preserve">       </w:t>
            </w:r>
            <w:hyperlink w:history="true" r:id="R7373e40c274a442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e0b06afd2744b2">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b2c33d35ab694b1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678db6df65d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357214746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8db6df65d43bd" /><Relationship Type="http://schemas.openxmlformats.org/officeDocument/2006/relationships/header" Target="/word/header1.xml" Id="R28bc709ba8e44c94" /><Relationship Type="http://schemas.openxmlformats.org/officeDocument/2006/relationships/settings" Target="/word/settings.xml" Id="R01d0f9b3e8ff465a" /><Relationship Type="http://schemas.openxmlformats.org/officeDocument/2006/relationships/styles" Target="/word/styles.xml" Id="R5a8352ec192b4c2b" /><Relationship Type="http://schemas.openxmlformats.org/officeDocument/2006/relationships/hyperlink" Target="https://meteor.aihw.gov.au/RegistrationAuthority/12" TargetMode="External" Id="R207932d7570a40c7" /><Relationship Type="http://schemas.openxmlformats.org/officeDocument/2006/relationships/numbering" Target="/word/numbering.xml" Id="R0f16e96074bd46a1" /><Relationship Type="http://schemas.openxmlformats.org/officeDocument/2006/relationships/hyperlink" Target="http://www.health.gov.au/internet/main/publishing.nsf/Content/Medicare+Statistics-1" TargetMode="External" Id="Rc6c052c0ef4242ba" /><Relationship Type="http://schemas.openxmlformats.org/officeDocument/2006/relationships/hyperlink" Target="http://www.health.gov.au/internet/mbsonline/publishing.nsf/content/medica" TargetMode="External" Id="R3f72bd5b5a0141b0" /><Relationship Type="http://schemas.openxmlformats.org/officeDocument/2006/relationships/hyperlink" Target="https://meteor.aihw.gov.au/content/392640" TargetMode="External" Id="R7f771a7e04ea4a81" /><Relationship Type="http://schemas.openxmlformats.org/officeDocument/2006/relationships/hyperlink" Target="https://meteor.aihw.gov.au/RegistrationAuthority/12" TargetMode="External" Id="R06c288bf45fd4e12" /><Relationship Type="http://schemas.openxmlformats.org/officeDocument/2006/relationships/hyperlink" Target="https://meteor.aihw.gov.au/content/500527" TargetMode="External" Id="Rde0599d4ebd24d1b" /><Relationship Type="http://schemas.openxmlformats.org/officeDocument/2006/relationships/hyperlink" Target="https://meteor.aihw.gov.au/RegistrationAuthority/12" TargetMode="External" Id="R7373e40c274a4428" /><Relationship Type="http://schemas.openxmlformats.org/officeDocument/2006/relationships/hyperlink" Target="https://meteor.aihw.gov.au/content/421651" TargetMode="External" Id="Reae0b06afd2744b2" /><Relationship Type="http://schemas.openxmlformats.org/officeDocument/2006/relationships/hyperlink" Target="https://meteor.aihw.gov.au/RegistrationAuthority/12" TargetMode="External" Id="Rb2c33d35ab694b15" /></Relationships>
</file>

<file path=word/_rels/header1.xml.rels>&#65279;<?xml version="1.0" encoding="utf-8"?><Relationships xmlns="http://schemas.openxmlformats.org/package/2006/relationships"><Relationship Type="http://schemas.openxmlformats.org/officeDocument/2006/relationships/image" Target="/media/image.png" Id="R8993572147464fe9" /></Relationships>
</file>