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c2f11a39d1485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19-Infant and young child mortality rate,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19-Infant and young child mortality rate,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2e95a3e6a945b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Census and Statistics Act 1905. For information on the institutional environment of the ABS, including the legislative obligations of the ABS, financing and governance arrangements, and mechanisms for scrutiny of ABS operations, see </w:t>
            </w:r>
            <w:r>
              <w:rPr>
                <w:rStyle w:val="row-content-rich-text"/>
                <w:u w:val="single"/>
              </w:rPr>
              <w:t xml:space="preserve">ABS Institutional Environment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r>
              <w:rPr>
                <w:rStyle w:val="row-content-rich-text"/>
              </w:rPr>
              <w:t xml:space="preserve">Preliminary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and deaths, Australia data are available in a variety of formats on the ABS website under the 3303.0 and 3302.0 product families. ERP data is available in a variety of formats on the ABS website under the 3101.0 and 3201.0 product families. Further information on deaths and mortality may be available on request. The ABS observes strict confidentiality protocols as required by the Census and Statistics Act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estimated resident population. Information on how to interpret and use the data appropriately is available from Explanatory Notes in Causes of Death, Australia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Deaths, Australia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Care should be taken when interpreting perinatal and infant crude mortality rates for Queensland due to recent changes in the timeliness of birth registrations. Infant and perinatal mortality rates utilise births data as the denominator. The Queensland Registry of Births, Deaths and Marriages devoted significant time and resources in 2009 to follow-up and finalise birth registrations where there was previously incomplete information, including the 'Retrospective Births Project' completed in the December quarter 2009. As part of the 'Retrospective Births Project' 1780 births were registered in the 2009 reference year, with approximately 40 per cent registered as Indigenous Australians. In 2009, half of the 4000 births to Indigenous women registered in Queensland occurred in 2008 or earlier. These projects have improved the completeness of births data by year of occurrence. However, finalisation of previously incomplete forms may have also affected births data based on year of registration, which has been used as the denominator in infant and perinatal mortality rate calculations included in this publication. For more information see Australian Bureau of Statistics, Births, Australia, 2009 (cat. no. 3301.0) Explanatory Notes 27–30. As population estimates of the population of Indigenous Australians are sourced from 2006 Census based projections for 2007 and later years, this matter does not currently affect indicators which use these projections in their calculations.</w:t>
            </w:r>
          </w:p>
          <w:p>
            <w:pPr>
              <w:spacing w:after="160"/>
            </w:pPr>
            <w:r>
              <w:rPr>
                <w:rStyle w:val="row-content-rich-text"/>
              </w:rPr>
              <w:t xml:space="preserve">There are ongoing ABS investigations into the unusual volatility in the number of deaths of Indigenous Australians registered in WA in recent years. Until a better understanding of the nature of this volatility is established, ABS recommends caution when utilising WA’s mortality rates for this indicator.</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 For more information see the </w:t>
            </w:r>
            <w:r>
              <w:rPr>
                <w:rStyle w:val="row-content-rich-text"/>
                <w:u w:val="single"/>
              </w:rPr>
              <w:t xml:space="preserve">Demography Working Paper 1998/2 Quarterly birth and death estimates, 1998 (cat. no. 3114.0). and Australian Demographic Statistics (cat. no. 3101.0)</w:t>
            </w:r>
            <w:r>
              <w:rPr>
                <w:rStyle w:val="row-content-rich-text"/>
              </w:rPr>
              <w:t xml:space="preserve">.</w:t>
            </w:r>
          </w:p>
          <w:p>
            <w:pPr>
              <w:spacing w:after="160"/>
            </w:pPr>
            <w:r>
              <w:rPr>
                <w:rStyle w:val="row-content-rich-text"/>
              </w:rPr>
              <w:t xml:space="preserve">Causes of death and perinatal deaths data for 2007 are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will enable the use of additional information relating to coroner certified deaths as it becomes available over time. This will result in increased specificity of the assigned ICD-10 codes. Causes of death data for 2007 coroner certified deaths will be updated as more information becomes available to the ABS. Revisions will only impact on coroner certified deaths, as further information becomes available to the ABS about the causes of these deaths. See </w:t>
            </w:r>
            <w:r>
              <w:rPr>
                <w:rStyle w:val="row-content-rich-text"/>
                <w:u w:val="single"/>
              </w:rPr>
              <w:t xml:space="preserve">Causes of Death, Australia, 3303.0</w:t>
            </w:r>
            <w:r>
              <w:rPr>
                <w:rStyle w:val="row-content-rich-text"/>
              </w:rPr>
              <w:t xml:space="preserve">.</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and Perinatal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334d4c88054e31">
              <w:r>
                <w:rPr>
                  <w:rStyle w:val="Hyperlink"/>
                </w:rPr>
                <w:t xml:space="preserve">National Healthcare Agreement: P19-Infant/young child mortality rate, 2010 QS</w:t>
              </w:r>
            </w:hyperlink>
          </w:p>
          <w:p>
            <w:pPr>
              <w:spacing w:before="0" w:after="0"/>
            </w:pPr>
            <w:r>
              <w:rPr>
                <w:rStyle w:val="row-content"/>
                <w:color w:val="244061"/>
              </w:rPr>
              <w:t xml:space="preserve">       </w:t>
            </w:r>
            <w:hyperlink w:history="true" r:id="R77adc15216fa4cb4">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4282b7f8d323486d">
              <w:r>
                <w:rPr>
                  <w:rStyle w:val="Hyperlink"/>
                </w:rPr>
                <w:t xml:space="preserve">National Healthcare Agreement: PI 19-Infant and young child mortality rate, 2012 QS</w:t>
              </w:r>
            </w:hyperlink>
          </w:p>
          <w:p>
            <w:pPr>
              <w:spacing w:before="0" w:after="0"/>
            </w:pPr>
            <w:r>
              <w:rPr>
                <w:rStyle w:val="row-content"/>
                <w:color w:val="244061"/>
              </w:rPr>
              <w:t xml:space="preserve">       </w:t>
            </w:r>
            <w:hyperlink w:history="true" r:id="R2d9c4379c46c433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88cd1875cea4edf">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d75fc88445dd4c92">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8b2514a88c9f40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c6f08d24fd4b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2514a88c9f4097" /><Relationship Type="http://schemas.openxmlformats.org/officeDocument/2006/relationships/header" Target="/word/header1.xml" Id="R8467e2e4d2864a17" /><Relationship Type="http://schemas.openxmlformats.org/officeDocument/2006/relationships/settings" Target="/word/settings.xml" Id="R6f16d72a6b8643cf" /><Relationship Type="http://schemas.openxmlformats.org/officeDocument/2006/relationships/styles" Target="/word/styles.xml" Id="R59ab619fc8994f3b" /><Relationship Type="http://schemas.openxmlformats.org/officeDocument/2006/relationships/hyperlink" Target="https://meteor.aihw.gov.au/RegistrationAuthority/12" TargetMode="External" Id="R7c2e95a3e6a945be" /><Relationship Type="http://schemas.openxmlformats.org/officeDocument/2006/relationships/hyperlink" Target="https://meteor.aihw.gov.au/content/407903" TargetMode="External" Id="R3c334d4c88054e31" /><Relationship Type="http://schemas.openxmlformats.org/officeDocument/2006/relationships/hyperlink" Target="https://meteor.aihw.gov.au/RegistrationAuthority/12" TargetMode="External" Id="R77adc15216fa4cb4" /><Relationship Type="http://schemas.openxmlformats.org/officeDocument/2006/relationships/hyperlink" Target="https://meteor.aihw.gov.au/content/500540" TargetMode="External" Id="R4282b7f8d323486d" /><Relationship Type="http://schemas.openxmlformats.org/officeDocument/2006/relationships/hyperlink" Target="https://meteor.aihw.gov.au/RegistrationAuthority/12" TargetMode="External" Id="R2d9c4379c46c433f" /><Relationship Type="http://schemas.openxmlformats.org/officeDocument/2006/relationships/hyperlink" Target="https://meteor.aihw.gov.au/content/421655" TargetMode="External" Id="R188cd1875cea4edf" /><Relationship Type="http://schemas.openxmlformats.org/officeDocument/2006/relationships/hyperlink" Target="https://meteor.aihw.gov.au/RegistrationAuthority/12" TargetMode="External" Id="Rd75fc88445dd4c92" /></Relationships>
</file>

<file path=word/_rels/header1.xml.rels>&#65279;<?xml version="1.0" encoding="utf-8"?><Relationships xmlns="http://schemas.openxmlformats.org/package/2006/relationships"><Relationship Type="http://schemas.openxmlformats.org/officeDocument/2006/relationships/image" Target="/media/image.png" Id="Rfcc6f08d24fd4b9e" /></Relationships>
</file>