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a497fabc7f45a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04-Incidence of selected cancers,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04-Incidence of selected cancers,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89a3771e5b458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quality of Indigenous identification in cancer registry data varies between jurisdictions. National disaggregation by Indigenous status is based on jurisdictions with adequate data quality (Western Australia, South Australia, Queensland, New South Wales and the Northern Territory). Even with adequate data quality, the small numbers behind many disaggregations means certain Indigenous data are not robust enough for meaningful comparisons. Information on adequacy of Indigenous identification in cancer registry data is provided to AIHW by each jurisdictional cancer registry.</w:t>
            </w:r>
          </w:p>
          <w:p>
            <w:pPr>
              <w:pStyle w:val="ListParagraph"/>
              <w:numPr>
                <w:ilvl w:val="0"/>
                <w:numId w:val="2"/>
              </w:numPr>
            </w:pPr>
            <w:r>
              <w:rPr>
                <w:rStyle w:val="row-content-rich-text"/>
              </w:rPr>
              <w:t xml:space="preserve">Remoteness and socioeconomic status are based on postcode of residential address at the time of diagnosis.</w:t>
            </w:r>
          </w:p>
          <w:p>
            <w:pPr>
              <w:pStyle w:val="ListParagraph"/>
              <w:numPr>
                <w:ilvl w:val="0"/>
                <w:numId w:val="2"/>
              </w:numPr>
            </w:pPr>
            <w:r>
              <w:rPr>
                <w:rStyle w:val="row-content-rich-text"/>
              </w:rPr>
              <w:t xml:space="preserve">Some data cells have been suppressed for confidentiality and reliability reasons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Cancer Statistics Clearing House (NCSCH) housed at the AIHW is a collaborative partnership between the AIHW and the Australasian Association of Cancer Registries (AACR).</w:t>
            </w:r>
          </w:p>
          <w:p>
            <w:pPr/>
            <w:r>
              <w:rPr>
                <w:rStyle w:val="row-content-rich-text"/>
              </w:rPr>
              <w:t xml:space="preserve">Cancer incidence data are supplied to the AIHW by State and Territory cancer registries. These data are compiled by AIHW to form the Australian Cancer Database (ACD). All jurisdictions have legislation requiring mandatory reporting of all cancer cases (with the exception of basal cell carcinoma and squamous cell carcinoma of the skin). This means cancer incidence ascertainment is complete for cancers reported in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2011 COAG Reform Council report are based on cancers diagnosed in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NCSCH provides cancer incidence and mortality data annually, via the AIHW website where they can be downloaded free of charge. A biennial report Cancer in Australia is published and is also available on the AIHW website where it can be downloaded without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users. Information on how and why the age-standardised rates have been calculated and how to interpret them is available in all AIHW cancer publications presenting data in this format, for example, Cancer in Australia: an overview, 2008. Information on all of the AIHW-held data sets, in this case the ACD,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accurate and of high quality. The mandatory reporting of cancers and the use of ERPs based on Census data for denominators provides the most comprehensive data coverage possible. The data are appropriate for this indicator.</w:t>
            </w:r>
          </w:p>
          <w:p>
            <w:pPr>
              <w:spacing w:after="160"/>
            </w:pPr>
            <w:r>
              <w:rPr>
                <w:rStyle w:val="row-content-rich-text"/>
              </w:rPr>
              <w:t xml:space="preserve">For participation by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Caution is required when examining differences across Indigenous status, as some states and territories do not have adequate data quality for this indicator. Western Australia, South Australia, Queensland, New South Wales and the Northern Territory have indicated that their Indigenous data quality is sufficient for reporting.</w:t>
            </w:r>
          </w:p>
          <w:p>
            <w:pPr>
              <w:spacing w:after="160"/>
            </w:pPr>
            <w:r>
              <w:rPr>
                <w:rStyle w:val="row-content-rich-text"/>
              </w:rPr>
              <w:t xml:space="preserve">A postal area (POA) to SLA to remoteness concordance and a POA to SLA to socioeconomic status concordance are used to allocate persons diagnosed with these reported cancers to remoteness and socioeconomic status categories based on their postcode or residence.</w:t>
            </w:r>
            <w:r>
              <w:br/>
            </w:r>
            <w:r>
              <w:rPr>
                <w:rStyle w:val="row-content-rich-text"/>
              </w:rPr>
              <w:t xml:space="preserve">Caution is required when examining differences across remoteness and socioeconomic status categories for several reasons. First, while the postcode of persons diagnosed is interpreted as postcode of residence, some may have supplied an address other than where they reside, or their postcode may be invalid or missing. Second, because the concordances are based on the 2006 census, postcodes and boundaries may have changed over time, creating inaccuracies. Third, many valid postcodes are absent from these concordances, meaning that many people diagnosed with these cancers are unable to be allocated to a socioeconomic status or remoteness category. Where postcodes are not available in these concordances, the person’s data are excluded from the relevant disaggregation reported.</w:t>
            </w:r>
          </w:p>
          <w:p>
            <w:pPr/>
            <w:r>
              <w:rPr>
                <w:rStyle w:val="row-content-rich-text"/>
              </w:rPr>
              <w:t xml:space="preserve">Socioeconomic status rankings are calculated by SLA using a population based method at the Australia-wide level. These ranked socioeconomic status SLAs are then allocated to their relevant jurisdiction, meaning quintiles should contain similar socioeconomic groups across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Analyses by remoteness and socioeconomic index for areas are based on postcode of usual residence. There may be differences in the collection of data for allocation of ‘usual residence’. Census data are rigorous when applying the definition for ‘usual residence’. However, people may not be so rigorous when reporting their ‘usual residence’ to clinicians.</w:t>
            </w:r>
          </w:p>
          <w:p>
            <w:pPr>
              <w:spacing w:after="160"/>
            </w:pPr>
            <w:r>
              <w:rPr>
                <w:rStyle w:val="row-content-rich-text"/>
              </w:rPr>
              <w:t xml:space="preserve">Incidence rates which are calculated using small numbers, eg for infrequent cancers, can be highly variable. Variability bands have been provided to indicate the extent to which conclusions can be made about the relative risk of different population subgroups.</w:t>
            </w:r>
          </w:p>
          <w:p>
            <w:pPr>
              <w:spacing w:after="160"/>
            </w:pPr>
            <w:r>
              <w:rPr>
                <w:rStyle w:val="row-content-rich-text"/>
              </w:rPr>
              <w:t xml:space="preserve">This indicator is calculated on data that have been supplied to the AIHW. Prior to publication, the results of State and Territory analyses are referred back to jurisdictions for checking and clearance. Any errors found by jurisdictions are corrected by the AIHW once confirmed.</w:t>
            </w:r>
            <w:r>
              <w:br/>
            </w:r>
            <w:r>
              <w:rPr>
                <w:rStyle w:val="row-content-rich-text"/>
              </w:rPr>
              <w:t xml:space="preserve">While previous reports can be used to verify these data at the national level, incidence by remoteness and socioeconomic status categories has never before been disaggregated by a postal area (POA) to SLA to remoteness concordance and a POA to SLA to socioeconomic status concordance, by State and Territory across all of Australia, and would thus be unable to be verified.</w:t>
            </w:r>
          </w:p>
          <w:p>
            <w:pPr>
              <w:spacing w:after="160"/>
            </w:pPr>
            <w:r>
              <w:rPr>
                <w:rStyle w:val="row-content-rich-text"/>
              </w:rPr>
              <w:t xml:space="preserve">Due to the very small numbers involved, disaggregation of participation by Indigenous status by State and Territory is not robust and leads to issues around confidentiality and comparability.</w:t>
            </w:r>
          </w:p>
          <w:p>
            <w:pPr>
              <w:spacing w:after="160"/>
            </w:pPr>
            <w:r>
              <w:rPr>
                <w:rStyle w:val="row-content-rich-text"/>
              </w:rPr>
              <w:t xml:space="preserve">The need to apply concordances to numerators and denominators introduces an unavoidable level of inaccuracy. As COAG denominator populations for disaggregation by socioeconomic status and remoteness are based on SLA, the numerator counts for this indicator also need to be based on SLA. Since the allocation of cancer incidence is based on postcode of residence, this required the generation of a POA to SLA to remoteness concordance and a POA to SLA to socioeconomic status concordance. However, postcode data are limiting. These concordances are based on 2006 boundaries and classifications, while the current data for this indicator are for 2007. Overall, many postcodes may not have valid SLA-based socioeconomic status or remoteness data available, and many may have changed classification group since 2006, resulting in inaccuracies.</w:t>
            </w:r>
          </w:p>
          <w:p>
            <w:pPr/>
            <w:r>
              <w:rPr>
                <w:rStyle w:val="row-content-rich-text"/>
              </w:rPr>
              <w:t xml:space="preserve">There are several sources of missing values. First, the state or territory may not have a postcode included for all incidence records, or the postcode supplied may not be valid. For those incidence records that do have a valid postcode, many cannot be allocated to a remoteness or socioeconomic category, as their postcode may not be included in the concordances. This may affect some remoteness and socioeconomic categories more than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r>
              <w:rPr>
                <w:rStyle w:val="row-content-rich-text"/>
              </w:rPr>
              <w:t xml:space="preserve">Not all Australian State and Territory cancer registries use the same ICD 10 code groupings to classify certain cancers. Further, the national cancer data presented here may use different code groupings to some jurisdictions. This may mean that data presented here are different to that reported by individual jurisdictional cancer registries, for certain cancers.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6290cf779d4827">
              <w:r>
                <w:rPr>
                  <w:rStyle w:val="Hyperlink"/>
                </w:rPr>
                <w:t xml:space="preserve">National Healthcare Agreement: P04-Incidence of selected cancers, 2010 QS</w:t>
              </w:r>
            </w:hyperlink>
          </w:p>
          <w:p>
            <w:pPr>
              <w:spacing w:before="0" w:after="0"/>
            </w:pPr>
            <w:r>
              <w:rPr>
                <w:rStyle w:val="row-content"/>
                <w:color w:val="244061"/>
              </w:rPr>
              <w:t xml:space="preserve">       </w:t>
            </w:r>
            <w:hyperlink w:history="true" r:id="R49050c2c51c94e2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b8119f3373947ef">
              <w:r>
                <w:rPr>
                  <w:rStyle w:val="Hyperlink"/>
                </w:rPr>
                <w:t xml:space="preserve">National Healthcare Agreement: PI 04-Incidence of selected cancers, 2012 QS</w:t>
              </w:r>
            </w:hyperlink>
          </w:p>
          <w:p>
            <w:pPr>
              <w:spacing w:before="0" w:after="0"/>
            </w:pPr>
            <w:r>
              <w:rPr>
                <w:rStyle w:val="row-content"/>
                <w:color w:val="244061"/>
              </w:rPr>
              <w:t xml:space="preserve">       </w:t>
            </w:r>
            <w:hyperlink w:history="true" r:id="Rc04d37d47eb04d0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96087370ddc4fb8">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9d1d66d001c1464e">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d9dd9423e0a742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d890386e149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d9423e0a74240" /><Relationship Type="http://schemas.openxmlformats.org/officeDocument/2006/relationships/header" Target="/word/header1.xml" Id="R4077235549e24eff" /><Relationship Type="http://schemas.openxmlformats.org/officeDocument/2006/relationships/settings" Target="/word/settings.xml" Id="R6bc86e4ef67742ae" /><Relationship Type="http://schemas.openxmlformats.org/officeDocument/2006/relationships/styles" Target="/word/styles.xml" Id="Rca051e82f9144f63" /><Relationship Type="http://schemas.openxmlformats.org/officeDocument/2006/relationships/hyperlink" Target="https://meteor.aihw.gov.au/RegistrationAuthority/12" TargetMode="External" Id="R8189a3771e5b4587" /><Relationship Type="http://schemas.openxmlformats.org/officeDocument/2006/relationships/numbering" Target="/word/numbering.xml" Id="Ra986278977434a97" /><Relationship Type="http://schemas.openxmlformats.org/officeDocument/2006/relationships/hyperlink" Target="https://meteor.aihw.gov.au/content/392605" TargetMode="External" Id="R156290cf779d4827" /><Relationship Type="http://schemas.openxmlformats.org/officeDocument/2006/relationships/hyperlink" Target="https://meteor.aihw.gov.au/RegistrationAuthority/12" TargetMode="External" Id="R49050c2c51c94e24" /><Relationship Type="http://schemas.openxmlformats.org/officeDocument/2006/relationships/hyperlink" Target="https://meteor.aihw.gov.au/content/500956" TargetMode="External" Id="R8b8119f3373947ef" /><Relationship Type="http://schemas.openxmlformats.org/officeDocument/2006/relationships/hyperlink" Target="https://meteor.aihw.gov.au/RegistrationAuthority/12" TargetMode="External" Id="Rc04d37d47eb04d0d" /><Relationship Type="http://schemas.openxmlformats.org/officeDocument/2006/relationships/hyperlink" Target="https://meteor.aihw.gov.au/content/421693" TargetMode="External" Id="Rf96087370ddc4fb8" /><Relationship Type="http://schemas.openxmlformats.org/officeDocument/2006/relationships/hyperlink" Target="https://meteor.aihw.gov.au/RegistrationAuthority/12" TargetMode="External" Id="R9d1d66d001c1464e" /></Relationships>
</file>

<file path=word/_rels/header1.xml.rels>&#65279;<?xml version="1.0" encoding="utf-8"?><Relationships xmlns="http://schemas.openxmlformats.org/package/2006/relationships"><Relationship Type="http://schemas.openxmlformats.org/officeDocument/2006/relationships/image" Target="/media/image.png" Id="R3afd890386e1498f" /></Relationships>
</file>