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2d85b653c44045" /></Relationships>
</file>

<file path=word/document.xml><?xml version="1.0" encoding="utf-8"?>
<w:document xmlns:r="http://schemas.openxmlformats.org/officeDocument/2006/relationships" xmlns:w="http://schemas.openxmlformats.org/wordprocessingml/2006/main">
  <w:body>
    <w:p>
      <w:pPr>
        <w:pStyle w:val="Title"/>
      </w:pPr>
      <w:r>
        <w:t>Resource Utilisation Groups - Activities of Daily Living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 - 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0e6ac56694b88">
              <w:r>
                <w:rPr>
                  <w:rStyle w:val="Hyperlink"/>
                  <w:color w:val="244061"/>
                </w:rPr>
                <w:t xml:space="preserve">Health</w:t>
              </w:r>
            </w:hyperlink>
            <w:r>
              <w:rPr>
                <w:rStyle w:val="row-content"/>
                <w:color w:val="244061"/>
              </w:rPr>
              <w:t xml:space="preserve">, Standard 11/04/2014</w:t>
            </w:r>
          </w:p>
          <w:p>
            <w:pPr>
              <w:spacing w:before="0" w:after="0"/>
            </w:pPr>
            <w:hyperlink w:history="true" r:id="R12b81e09c70f4302">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an individual's need for assistance with four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Two or more person physical assist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r>
              <w:rPr>
                <w:rStyle w:val="row-content-rich-text"/>
              </w:rPr>
              <w:t xml:space="preserve">Scores are summed for the four ADL variables: bed mobility, toilet use, transfer and eating. A total RUG-ADL scores ranges from a minimum 4 and maximum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891de6a9d349f2">
              <w:r>
                <w:rPr>
                  <w:rStyle w:val="Hyperlink"/>
                </w:rPr>
                <w:t xml:space="preserve">Resource Utilisation Groups–Activities of Daily Living score code N</w:t>
              </w:r>
            </w:hyperlink>
          </w:p>
          <w:p>
            <w:pPr>
              <w:spacing w:before="0" w:after="0"/>
            </w:pPr>
            <w:r>
              <w:rPr>
                <w:rStyle w:val="row-content"/>
                <w:color w:val="244061"/>
              </w:rPr>
              <w:t xml:space="preserve">       </w:t>
            </w:r>
            <w:hyperlink w:history="true" r:id="Rb6e1e6df36dc4f71">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4b3a6a8bbc48d8">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e7da89fb2aa942a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7a30eda4bae4b16">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3d52b0ff91bf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446314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3b4efb2eb84e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52b0ff91bf459f" /><Relationship Type="http://schemas.openxmlformats.org/officeDocument/2006/relationships/header" Target="/word/header1.xml" Id="R0f7eb86a18f64ab5" /><Relationship Type="http://schemas.openxmlformats.org/officeDocument/2006/relationships/settings" Target="/word/settings.xml" Id="R12e748e7779f4897" /><Relationship Type="http://schemas.openxmlformats.org/officeDocument/2006/relationships/styles" Target="/word/styles.xml" Id="R7db17fdeab314cc6" /><Relationship Type="http://schemas.openxmlformats.org/officeDocument/2006/relationships/hyperlink" Target="https://meteor.aihw.gov.au/RegistrationAuthority/12" TargetMode="External" Id="Rbe00e6ac56694b88" /><Relationship Type="http://schemas.openxmlformats.org/officeDocument/2006/relationships/hyperlink" Target="https://meteor.aihw.gov.au/RegistrationAuthority/3" TargetMode="External" Id="R12b81e09c70f4302" /><Relationship Type="http://schemas.openxmlformats.org/officeDocument/2006/relationships/numbering" Target="/word/numbering.xml" Id="R292987ac2c13499f" /><Relationship Type="http://schemas.openxmlformats.org/officeDocument/2006/relationships/hyperlink" Target="https://meteor.aihw.gov.au/content/676181" TargetMode="External" Id="Re6891de6a9d349f2" /><Relationship Type="http://schemas.openxmlformats.org/officeDocument/2006/relationships/hyperlink" Target="https://meteor.aihw.gov.au/RegistrationAuthority/12" TargetMode="External" Id="Rb6e1e6df36dc4f71" /><Relationship Type="http://schemas.openxmlformats.org/officeDocument/2006/relationships/hyperlink" Target="https://meteor.aihw.gov.au/content/446318" TargetMode="External" Id="R7e4b3a6a8bbc48d8" /><Relationship Type="http://schemas.openxmlformats.org/officeDocument/2006/relationships/hyperlink" Target="https://meteor.aihw.gov.au/RegistrationAuthority/12" TargetMode="External" Id="Re7da89fb2aa942ae" /><Relationship Type="http://schemas.openxmlformats.org/officeDocument/2006/relationships/hyperlink" Target="https://meteor.aihw.gov.au/RegistrationAuthority/3" TargetMode="External" Id="Re7a30eda4bae4b16" /></Relationships>
</file>

<file path=word/_rels/header1.xml.rels>&#65279;<?xml version="1.0" encoding="utf-8"?><Relationships xmlns="http://schemas.openxmlformats.org/package/2006/relationships"><Relationship Type="http://schemas.openxmlformats.org/officeDocument/2006/relationships/image" Target="/media/image.png" Id="R3f3b4efb2eb84e7a" /></Relationships>
</file>