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97e16a61474c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22-Selected potentially preventable hospitalisations,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425b0d4b64d62">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5300df68a14d88">
              <w:r>
                <w:rPr>
                  <w:rStyle w:val="Hyperlink"/>
                </w:rPr>
                <w:t xml:space="preserve">National Healthcare Agreement (2012)</w:t>
              </w:r>
            </w:hyperlink>
          </w:p>
          <w:p>
            <w:pPr>
              <w:spacing w:before="0" w:after="0"/>
            </w:pPr>
            <w:r>
              <w:rPr>
                <w:rStyle w:val="row-content"/>
                <w:color w:val="244061"/>
              </w:rPr>
              <w:t xml:space="preserve">       </w:t>
            </w:r>
            <w:hyperlink w:history="true" r:id="R691eebc9e6a848b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135e6ea53f4fe8">
              <w:r>
                <w:rPr>
                  <w:rStyle w:val="Hyperlink"/>
                </w:rPr>
                <w:t xml:space="preserve">Primary and Community Health</w:t>
              </w:r>
            </w:hyperlink>
          </w:p>
          <w:p>
            <w:pPr>
              <w:spacing w:before="0" w:after="0"/>
            </w:pPr>
            <w:r>
              <w:rPr>
                <w:rStyle w:val="row-content"/>
                <w:color w:val="244061"/>
              </w:rPr>
              <w:t xml:space="preserve">       </w:t>
            </w:r>
            <w:hyperlink w:history="true" r:id="R795b2322e50343d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debb6b00fc14b36">
              <w:r>
                <w:rPr>
                  <w:rStyle w:val="Hyperlink"/>
                </w:rPr>
                <w:t xml:space="preserve">National Healthcare Agreement: PI 22-Selected potentially preventable hospitalisations, 2012 QS</w:t>
              </w:r>
            </w:hyperlink>
          </w:p>
          <w:p>
            <w:pPr>
              <w:spacing w:before="0" w:after="0"/>
            </w:pPr>
            <w:r>
              <w:rPr>
                <w:rStyle w:val="row-content"/>
                <w:color w:val="244061"/>
              </w:rPr>
              <w:t xml:space="preserve">       </w:t>
            </w:r>
            <w:hyperlink w:history="true" r:id="R2be45102699243b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22 A: ICD-10-AM codes used for identifying potentially preventable hospitalisations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b/>
                    </w:rPr>
                    <w:t xml:space="preserve">Category</w:t>
                  </w:r>
                </w:p>
              </w:tc>
              <w:tc>
                <w:tcPr>
                  <w:tcW w:w="4000" w:type="pct"/>
                  <w:vAlign w:val="top"/>
                </w:tcPr>
                <w:p>
                  <w:r>
                    <w:rPr>
                      <w:b/>
                    </w:rPr>
                    <w:t xml:space="preserve">ICD-10-AM codes</w:t>
                  </w:r>
                </w:p>
              </w:tc>
            </w:tr>
            <w:tr>
              <w:trPr/>
              <w:tc>
                <w:tcPr>
                  <w:tcW w:w="1000" w:type="pct"/>
                  <w:vAlign w:val="top"/>
                </w:tcPr>
                <w:p>
                  <w:r>
                    <w:rPr>
                      <w:b/>
                    </w:rP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w:t>
                  </w:r>
                  <w:r>
                    <w:br/>
                  </w:r>
                  <w:r>
                    <w:t xml:space="preserve">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w:t>
                  </w:r>
                  <w:r>
                    <w:br/>
                  </w:r>
                  <w:r>
                    <w:t xml:space="preserve">diagnosis field</w:t>
                  </w:r>
                </w:p>
              </w:tc>
            </w:tr>
            <w:tr>
              <w:trPr/>
              <w:tc>
                <w:tcPr>
                  <w:tcW w:w="1000" w:type="pct"/>
                  <w:vAlign w:val="top"/>
                </w:tcPr>
                <w:p>
                  <w:r>
                    <w:rPr>
                      <w:b/>
                    </w:rP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w:t>
                  </w:r>
                  <w:r>
                    <w:br/>
                  </w:r>
                  <w:r>
                    <w:t xml:space="preserve">33172-00, 35304-00, 35305-00, 35310-02, 35310-00, 38281-11, 38281-07, 38278-01, 38278-00, 38281-02, 38281-01, 38281-00, 38256-00, 38278-03, 38284-00, 38284-02, 38521-09, 38270-01, 38456-19, 38456-15, 38456-12, 38456-11, 38456-10, 38456-07, 38456-01, 38470-00, 38475-00, 38480-02, 38480-01, 38480-00, 38488-06, 38488-04, 38489-04, 38488-02, 38489-03, 38487-00, 38489-02, 38488-00, 38489-00, 38490-00, 38493-00, 38497-04, 38497-03, 38497-02, 38497-01, 38497-00, 38500-00, 38503-00, 38505-00, 38521-04, 38606-00, 38612-00, 38615-00, 38653-00, 38700-02, 38700-00, 38739-00, 38742-02, 38742-00, 38745-00, 38751-02, 38751-00, 38757-02, 38757-01, 38757-00, 90204-00, 90205-00, 90219-00, 90224-00, 90214-00, 90214-02.</w:t>
                  </w:r>
                </w:p>
              </w:tc>
            </w:tr>
            <w:tr>
              <w:trPr/>
              <w:tc>
                <w:tcPr>
                  <w:tcW w:w="1000" w:type="pct"/>
                  <w:vAlign w:val="top"/>
                </w:tcPr>
                <w:p>
                  <w:r>
                    <w:t xml:space="preserve">Diabetes complications</w:t>
                  </w:r>
                </w:p>
              </w:tc>
              <w:tc>
                <w:tcPr>
                  <w:tcW w:w="4000" w:type="pct"/>
                  <w:vAlign w:val="top"/>
                </w:tcPr>
                <w:p>
                  <w:r>
                    <w:t xml:space="preserve">E10–E14.9 as principal diagnoses </w:t>
                  </w:r>
                </w:p>
                <w:p>
                  <w:r>
                    <w:t xml:space="preserve">and E10–E14.9 as additional diagnoses where the principal diagnosis was:</w:t>
                  </w:r>
                </w:p>
                <w:p>
                  <w:r>
                    <w:t xml:space="preserve">–    hypersmolarity (E87.0)</w:t>
                  </w:r>
                </w:p>
                <w:p>
                  <w:r>
                    <w:t xml:space="preserve">–    acidosis (E87.2)</w:t>
                  </w:r>
                </w:p>
                <w:p>
                  <w:r>
                    <w:t xml:space="preserve">–    transient ischaemic attack (G45)</w:t>
                  </w:r>
                </w:p>
                <w:p>
                  <w:r>
                    <w:t xml:space="preserve">–    nerve disorders and neuropathies (G50–G64)</w:t>
                  </w:r>
                </w:p>
                <w:p>
                  <w:r>
                    <w:t xml:space="preserve">–    cataracts and lens disorders (H25–H28)</w:t>
                  </w:r>
                </w:p>
                <w:p>
                  <w:r>
                    <w:t xml:space="preserve">–    retinal disorders (H30–H36)</w:t>
                  </w:r>
                </w:p>
                <w:p>
                  <w:r>
                    <w:t xml:space="preserve">–    glaucoma (H40–H42)</w:t>
                  </w:r>
                </w:p>
                <w:p>
                  <w:r>
                    <w:t xml:space="preserve">–    myocardial infarction (I21–I22)</w:t>
                  </w:r>
                </w:p>
                <w:p>
                  <w:r>
                    <w:t xml:space="preserve">–    other coronary heart diseases (I20, I23–I25)</w:t>
                  </w:r>
                </w:p>
                <w:p>
                  <w:r>
                    <w:t xml:space="preserve">–    heart failure (I50)</w:t>
                  </w:r>
                </w:p>
                <w:p>
                  <w:r>
                    <w:t xml:space="preserve">–    stroke and sequelae (I60–I64, I69.0–I69.4)</w:t>
                  </w:r>
                </w:p>
                <w:p>
                  <w:r>
                    <w:t xml:space="preserve">–    peripheral vascular disease (I70–I74)</w:t>
                  </w:r>
                </w:p>
                <w:p>
                  <w:r>
                    <w:t xml:space="preserve">–    gingivitis and periodontal disease (K05)</w:t>
                  </w:r>
                </w:p>
                <w:p>
                  <w:r>
                    <w:t xml:space="preserve">–    kidney diseases (N00–N29) [including end-      stage renal disease (N17–N19)]</w:t>
                  </w:r>
                </w:p>
                <w:p>
                  <w:r>
                    <w:t xml:space="preserve">–    renal dialysis (Z49)</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J43,J44, J47</w:t>
                  </w:r>
                </w:p>
              </w:tc>
            </w:tr>
            <w:tr>
              <w:trPr/>
              <w:tc>
                <w:tcPr>
                  <w:tcW w:w="1000" w:type="pct"/>
                  <w:vAlign w:val="top"/>
                </w:tcPr>
                <w:p>
                  <w:r>
                    <w:t xml:space="preserve">Angina</w:t>
                  </w:r>
                </w:p>
              </w:tc>
              <w:tc>
                <w:tcPr>
                  <w:tcW w:w="4000" w:type="pct"/>
                  <w:vAlign w:val="top"/>
                </w:tcPr>
                <w:p>
                  <w:r>
                    <w:t xml:space="preserve">I20, I24.0, I24.8, I24.9 as principal diagnosis only, exclude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rPr>
                      <w:b/>
                    </w:rPr>
                    <w:t xml:space="preserve">Acute</w:t>
                  </w:r>
                </w:p>
              </w:tc>
              <w:tc>
                <w:tcPr>
                  <w:tcW w:w="4000" w:type="pct"/>
                  <w:vAlign w:val="top"/>
                </w:tcPr>
                <w:p>
                  <w:r>
                    <w:t xml:space="preserve"> </w:t>
                  </w:r>
                </w:p>
              </w:tc>
            </w:tr>
            <w:tr>
              <w:trPr/>
              <w:tc>
                <w:tcPr>
                  <w:tcW w:w="1000" w:type="pct"/>
                  <w:vAlign w:val="top"/>
                </w:tcPr>
                <w:p>
                  <w:r>
                    <w:t xml:space="preserve">Dehydration and gastroenteritis</w:t>
                  </w:r>
                </w:p>
              </w:tc>
              <w:tc>
                <w:tcPr>
                  <w:tcW w:w="4000" w:type="pct"/>
                  <w:vAlign w:val="top"/>
                </w:tcPr>
                <w:p>
                  <w:r>
                    <w:t xml:space="preserve">A09.9, E86, K52.2, K52.8, K52.9 as principal diagnosis only.</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30216-02, 30676-00, 30223-02, 30064-00, 34527-01, 34527-00,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K35.0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each of the 3 computations:</w:t>
            </w:r>
          </w:p>
          <w:p>
            <w:pPr>
              <w:pStyle w:val="ListParagraph"/>
              <w:numPr>
                <w:ilvl w:val="0"/>
                <w:numId w:val="2"/>
              </w:numPr>
            </w:pPr>
            <w:r>
              <w:rPr>
                <w:rStyle w:val="row-content-rich-text"/>
              </w:rPr>
              <w:t xml:space="preserve">As per specification</w:t>
            </w:r>
          </w:p>
          <w:p>
            <w:pPr>
              <w:pStyle w:val="ListParagraph"/>
              <w:numPr>
                <w:ilvl w:val="0"/>
                <w:numId w:val="2"/>
              </w:numPr>
            </w:pPr>
            <w:r>
              <w:rPr>
                <w:rStyle w:val="row-content-rich-text"/>
              </w:rPr>
              <w:t xml:space="preserve">With diabetes complications (all diagnoses) and dehydration gastroenteritis excluded (COAG Reform Council supplementary data).</w:t>
            </w:r>
          </w:p>
          <w:p>
            <w:pPr>
              <w:pStyle w:val="ListParagraph"/>
              <w:numPr>
                <w:ilvl w:val="0"/>
                <w:numId w:val="2"/>
              </w:numPr>
            </w:pPr>
            <w:r>
              <w:rPr>
                <w:rStyle w:val="row-content-rich-text"/>
              </w:rPr>
              <w:t xml:space="preserve">With diabetes complications (additional diagnoses only) and dehydration gastroenteritis excluded (COAG Reform Council supplementary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acute conditions (e.g. ear, nose and throat infections, dehydration/gastroenteritis)</w:t>
            </w:r>
          </w:p>
          <w:p>
            <w:pPr>
              <w:pStyle w:val="ListParagraph"/>
              <w:numPr>
                <w:ilvl w:val="0"/>
                <w:numId w:val="3"/>
              </w:numPr>
            </w:pPr>
            <w:r>
              <w:rPr>
                <w:rStyle w:val="row-content-rich-text"/>
              </w:rPr>
              <w:t xml:space="preserve">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92b8b354fe4e58">
              <w:r>
                <w:rPr>
                  <w:rStyle w:val="Hyperlink"/>
                </w:rPr>
                <w:t xml:space="preserve">Episode of admitted patient care—admission date, DDMMYYYY</w:t>
              </w:r>
            </w:hyperlink>
          </w:p>
          <w:p>
            <w:r>
              <w:rPr>
                <w:rStyle w:val="row-content"/>
                <w:b/>
              </w:rPr>
              <w:t xml:space="preserve">Data Source</w:t>
            </w:r>
          </w:p>
          <w:p>
            <w:hyperlink w:history="true" r:id="R082f1a485aee4911">
              <w:r>
                <w:rPr>
                  <w:rStyle w:val="Hyperlink"/>
                </w:rPr>
                <w:t xml:space="preserve">National Hospital Morbidity Database (NHMD)</w:t>
              </w:r>
            </w:hyperlink>
          </w:p>
          <w:p>
            <w:r>
              <w:rPr>
                <w:rStyle w:val="row-content"/>
                <w:b/>
              </w:rPr>
              <w:t xml:space="preserve">NMDS / DSS</w:t>
            </w:r>
          </w:p>
          <w:p>
            <w:hyperlink w:history="true" r:id="R733df884617e493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f626e3eba2498e">
              <w:r>
                <w:rPr>
                  <w:rStyle w:val="Hyperlink"/>
                </w:rPr>
                <w:t xml:space="preserve">Episode of admitted patient care—condition onset flag, code N</w:t>
              </w:r>
            </w:hyperlink>
          </w:p>
          <w:p>
            <w:r>
              <w:rPr>
                <w:rStyle w:val="row-content"/>
                <w:b/>
              </w:rPr>
              <w:t xml:space="preserve">Data Source</w:t>
            </w:r>
          </w:p>
          <w:p>
            <w:hyperlink w:history="true" r:id="R0f3275f095fc4933">
              <w:r>
                <w:rPr>
                  <w:rStyle w:val="Hyperlink"/>
                </w:rPr>
                <w:t xml:space="preserve">National Hospital Morbidity Database (NHMD)</w:t>
              </w:r>
            </w:hyperlink>
          </w:p>
          <w:p>
            <w:r>
              <w:rPr>
                <w:rStyle w:val="row-content"/>
                <w:b/>
              </w:rPr>
              <w:t xml:space="preserve">NMDS / DSS</w:t>
            </w:r>
          </w:p>
          <w:p>
            <w:hyperlink w:history="true" r:id="Rffd109a71662479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e230cda67d4016">
              <w:r>
                <w:rPr>
                  <w:rStyle w:val="Hyperlink"/>
                </w:rPr>
                <w:t xml:space="preserve">Episode of care—additional diagnosis, code (ICD-10-AM 6th edn) ANN{.N[N]}</w:t>
              </w:r>
            </w:hyperlink>
          </w:p>
          <w:p>
            <w:r>
              <w:rPr>
                <w:rStyle w:val="row-content"/>
                <w:b/>
              </w:rPr>
              <w:t xml:space="preserve">Data Source</w:t>
            </w:r>
          </w:p>
          <w:p>
            <w:hyperlink w:history="true" r:id="R651ec6dc29fc4cab">
              <w:r>
                <w:rPr>
                  <w:rStyle w:val="Hyperlink"/>
                </w:rPr>
                <w:t xml:space="preserve">National Hospital Morbidity Database (NHMD)</w:t>
              </w:r>
            </w:hyperlink>
          </w:p>
          <w:p>
            <w:r>
              <w:rPr>
                <w:rStyle w:val="row-content"/>
                <w:b/>
              </w:rPr>
              <w:t xml:space="preserve">NMDS / DSS</w:t>
            </w:r>
          </w:p>
          <w:p>
            <w:hyperlink w:history="true" r:id="R0c27022e7a324ff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0c46345c524b6e">
              <w:r>
                <w:rPr>
                  <w:rStyle w:val="Hyperlink"/>
                </w:rPr>
                <w:t xml:space="preserve">Episode of care—principal diagnosis, code (ICD-10-AM 6th edn) ANN{.N[N]}</w:t>
              </w:r>
            </w:hyperlink>
          </w:p>
          <w:p>
            <w:r>
              <w:rPr>
                <w:rStyle w:val="row-content"/>
                <w:b/>
              </w:rPr>
              <w:t xml:space="preserve">Data Source</w:t>
            </w:r>
          </w:p>
          <w:p>
            <w:hyperlink w:history="true" r:id="R102e09090f004406">
              <w:r>
                <w:rPr>
                  <w:rStyle w:val="Hyperlink"/>
                </w:rPr>
                <w:t xml:space="preserve">National Hospital Morbidity Database (NHMD)</w:t>
              </w:r>
            </w:hyperlink>
          </w:p>
          <w:p>
            <w:r>
              <w:rPr>
                <w:rStyle w:val="row-content"/>
                <w:b/>
              </w:rPr>
              <w:t xml:space="preserve">NMDS / DSS</w:t>
            </w:r>
          </w:p>
          <w:p>
            <w:hyperlink w:history="true" r:id="R7fe69f68e89f462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9b0735fb54248c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eba5bc5a39b4fc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three groups and total) by SEIFA Index of Relative Socioeconomic Disadvantage (IRSD) deciles</w:t>
            </w:r>
          </w:p>
          <w:p>
            <w:pPr>
              <w:spacing w:after="160"/>
            </w:pPr>
            <w:r>
              <w:rPr>
                <w:rStyle w:val="row-content-rich-text"/>
              </w:rPr>
              <w:t xml:space="preserve">2007–08 and 2008–09 (for computation 2 and 3) and 2009–10—State and territory (by three groups and total), by:</w:t>
            </w:r>
          </w:p>
          <w:p>
            <w:pPr>
              <w:pStyle w:val="ListParagraph"/>
              <w:numPr>
                <w:ilvl w:val="0"/>
                <w:numId w:val="4"/>
              </w:numPr>
            </w:pPr>
            <w:r>
              <w:rPr>
                <w:rStyle w:val="row-content-rich-text"/>
              </w:rPr>
              <w:t xml:space="preserve">Indigenous status  </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78049dbf9c4763">
              <w:r>
                <w:rPr>
                  <w:rStyle w:val="Hyperlink"/>
                </w:rPr>
                <w:t xml:space="preserve">Person—Indigenous status, code N</w:t>
              </w:r>
            </w:hyperlink>
          </w:p>
          <w:p>
            <w:r>
              <w:rPr>
                <w:rStyle w:val="row-content"/>
                <w:b/>
              </w:rPr>
              <w:t xml:space="preserve">Data Source</w:t>
            </w:r>
          </w:p>
          <w:p>
            <w:hyperlink w:history="true" r:id="Radbb5c7f3ee045a7">
              <w:r>
                <w:rPr>
                  <w:rStyle w:val="Hyperlink"/>
                </w:rPr>
                <w:t xml:space="preserve">National Hospital Morbidity Database (NHMD)</w:t>
              </w:r>
            </w:hyperlink>
          </w:p>
          <w:p>
            <w:r>
              <w:rPr>
                <w:rStyle w:val="row-content"/>
                <w:b/>
              </w:rPr>
              <w:t xml:space="preserve">NMDS / DSS</w:t>
            </w:r>
          </w:p>
          <w:p>
            <w:hyperlink w:history="true" r:id="Re9525fca50e7430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078a0885d843f6">
              <w:r>
                <w:rPr>
                  <w:rStyle w:val="Hyperlink"/>
                </w:rPr>
                <w:t xml:space="preserve">Person—area of usual residence, geographical location code (ASGC 2008) NNNNN</w:t>
              </w:r>
            </w:hyperlink>
          </w:p>
          <w:p>
            <w:r>
              <w:rPr>
                <w:rStyle w:val="row-content"/>
                <w:b/>
              </w:rPr>
              <w:t xml:space="preserve">Data Source</w:t>
            </w:r>
          </w:p>
          <w:p>
            <w:hyperlink w:history="true" r:id="R49191ede816942d7">
              <w:r>
                <w:rPr>
                  <w:rStyle w:val="Hyperlink"/>
                </w:rPr>
                <w:t xml:space="preserve">National Hospital Morbidity Database (NHMD)</w:t>
              </w:r>
            </w:hyperlink>
          </w:p>
          <w:p>
            <w:r>
              <w:rPr>
                <w:rStyle w:val="row-content"/>
                <w:b/>
              </w:rPr>
              <w:t xml:space="preserve">NMDS / DSS</w:t>
            </w:r>
          </w:p>
          <w:p>
            <w:hyperlink w:history="true" r:id="R12fad80c803442b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bb1f7b9be14589">
              <w:r>
                <w:rPr>
                  <w:rStyle w:val="Hyperlink"/>
                </w:rPr>
                <w:t xml:space="preserve">Accessibility</w:t>
              </w:r>
            </w:hyperlink>
            <w:r>
              <w:br/>
            </w:r>
            <w:r>
              <w:br/>
            </w:r>
            <w:hyperlink w:history="true" r:id="R6574bc627a6d465a">
              <w:r>
                <w:rPr>
                  <w:rStyle w:val="Hyperlink"/>
                </w:rPr>
                <w:t xml:space="preserve">Effectiveness</w:t>
              </w:r>
            </w:hyperlink>
            <w:r>
              <w:br/>
            </w:r>
            <w:r>
              <w:br/>
            </w:r>
          </w:p>
          <w:p>
            <w:hyperlink w:history="true" r:id="Rf34800171956481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cfdd15ed65427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133c09f8385403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3fbdf3ef2714ef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ff23a41eb054ad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f516479122c41f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eb8e5c93d74402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after="160"/>
            </w:pPr>
            <w:r>
              <w:rPr>
                <w:rStyle w:val="row-content-rich-text"/>
                <w:u w:val="single"/>
              </w:rPr>
              <w:t xml:space="preserve">National Healthcare Agreement:</w:t>
            </w:r>
          </w:p>
          <w:p>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676560c8e4cc7">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8d27905a01fe43a9">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9a7eb1af273e492c">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34a00ca796524aa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a1cf6d4fff149f6">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6af66ece06ab446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b8f52a53f8949f2">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03daab063d5d4a9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424ddfde6444f62">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e575c76ef4334ee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1faaf23f5124ad8">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d8ba47816383414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cc977e4d3774396">
              <w:r>
                <w:rPr>
                  <w:rStyle w:val="Hyperlink"/>
                </w:rPr>
                <w:t xml:space="preserve">National Healthcare Agreement: PI 24-GP-type services, 2012</w:t>
              </w:r>
            </w:hyperlink>
          </w:p>
          <w:p>
            <w:pPr>
              <w:spacing w:before="0" w:after="0"/>
            </w:pPr>
            <w:r>
              <w:rPr>
                <w:rStyle w:val="row-content"/>
                <w:color w:val="244061"/>
              </w:rPr>
              <w:t xml:space="preserve">       </w:t>
            </w:r>
            <w:hyperlink w:history="true" r:id="R5b563dca9046437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73fe8fa99e44836">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a6191f2b687f40c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d97403370c34304">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166cd772698144f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db4823589fd40e7">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2a0406f710e64a0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6a447a318d64897">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1497d66a05fa41b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a5bb1a3fbc0449d">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d061b0fdb206454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7b7588bbba2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4445bea3d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7588bbba2475f" /><Relationship Type="http://schemas.openxmlformats.org/officeDocument/2006/relationships/header" Target="/word/header1.xml" Id="R679053f88d614d7b" /><Relationship Type="http://schemas.openxmlformats.org/officeDocument/2006/relationships/settings" Target="/word/settings.xml" Id="R58c60e07859e453f" /><Relationship Type="http://schemas.openxmlformats.org/officeDocument/2006/relationships/styles" Target="/word/styles.xml" Id="Rde18a8d0faac43bc" /><Relationship Type="http://schemas.openxmlformats.org/officeDocument/2006/relationships/hyperlink" Target="https://meteor.aihw.gov.au/RegistrationAuthority/12" TargetMode="External" Id="Rf38425b0d4b64d62" /><Relationship Type="http://schemas.openxmlformats.org/officeDocument/2006/relationships/hyperlink" Target="https://meteor.aihw.gov.au/content/435821" TargetMode="External" Id="R9a5300df68a14d88" /><Relationship Type="http://schemas.openxmlformats.org/officeDocument/2006/relationships/hyperlink" Target="https://meteor.aihw.gov.au/RegistrationAuthority/12" TargetMode="External" Id="R691eebc9e6a848be" /><Relationship Type="http://schemas.openxmlformats.org/officeDocument/2006/relationships/hyperlink" Target="https://meteor.aihw.gov.au/content/393484" TargetMode="External" Id="Rfa135e6ea53f4fe8" /><Relationship Type="http://schemas.openxmlformats.org/officeDocument/2006/relationships/hyperlink" Target="https://meteor.aihw.gov.au/RegistrationAuthority/12" TargetMode="External" Id="R795b2322e50343d0" /><Relationship Type="http://schemas.openxmlformats.org/officeDocument/2006/relationships/hyperlink" Target="https://meteor.aihw.gov.au/content/500465" TargetMode="External" Id="Rcdebb6b00fc14b36" /><Relationship Type="http://schemas.openxmlformats.org/officeDocument/2006/relationships/hyperlink" Target="https://meteor.aihw.gov.au/RegistrationAuthority/12" TargetMode="External" Id="R2be45102699243b2" /><Relationship Type="http://schemas.openxmlformats.org/officeDocument/2006/relationships/numbering" Target="/word/numbering.xml" Id="Rd439c18b72164b8f" /><Relationship Type="http://schemas.openxmlformats.org/officeDocument/2006/relationships/hyperlink" Target="https://meteor.aihw.gov.au/content/269967" TargetMode="External" Id="Rcb92b8b354fe4e58" /><Relationship Type="http://schemas.openxmlformats.org/officeDocument/2006/relationships/hyperlink" Target="https://meteor.aihw.gov.au/content/394352" TargetMode="External" Id="R082f1a485aee4911" /><Relationship Type="http://schemas.openxmlformats.org/officeDocument/2006/relationships/hyperlink" Target="https://meteor.aihw.gov.au/content/374205" TargetMode="External" Id="R733df884617e4935" /><Relationship Type="http://schemas.openxmlformats.org/officeDocument/2006/relationships/hyperlink" Target="https://meteor.aihw.gov.au/content/354816" TargetMode="External" Id="R7df626e3eba2498e" /><Relationship Type="http://schemas.openxmlformats.org/officeDocument/2006/relationships/hyperlink" Target="https://meteor.aihw.gov.au/content/394352" TargetMode="External" Id="R0f3275f095fc4933" /><Relationship Type="http://schemas.openxmlformats.org/officeDocument/2006/relationships/hyperlink" Target="https://meteor.aihw.gov.au/content/374205" TargetMode="External" Id="Rffd109a716624799" /><Relationship Type="http://schemas.openxmlformats.org/officeDocument/2006/relationships/hyperlink" Target="https://meteor.aihw.gov.au/content/356587" TargetMode="External" Id="R44e230cda67d4016" /><Relationship Type="http://schemas.openxmlformats.org/officeDocument/2006/relationships/hyperlink" Target="https://meteor.aihw.gov.au/content/394352" TargetMode="External" Id="R651ec6dc29fc4cab" /><Relationship Type="http://schemas.openxmlformats.org/officeDocument/2006/relationships/hyperlink" Target="https://meteor.aihw.gov.au/content/374205" TargetMode="External" Id="R0c27022e7a324ffc" /><Relationship Type="http://schemas.openxmlformats.org/officeDocument/2006/relationships/hyperlink" Target="https://meteor.aihw.gov.au/content/361034" TargetMode="External" Id="R0d0c46345c524b6e" /><Relationship Type="http://schemas.openxmlformats.org/officeDocument/2006/relationships/hyperlink" Target="https://meteor.aihw.gov.au/content/394352" TargetMode="External" Id="R102e09090f004406" /><Relationship Type="http://schemas.openxmlformats.org/officeDocument/2006/relationships/hyperlink" Target="https://meteor.aihw.gov.au/content/374205" TargetMode="External" Id="R7fe69f68e89f462c" /><Relationship Type="http://schemas.openxmlformats.org/officeDocument/2006/relationships/hyperlink" Target="https://meteor.aihw.gov.au/content/393625" TargetMode="External" Id="R69b0735fb54248c0" /><Relationship Type="http://schemas.openxmlformats.org/officeDocument/2006/relationships/hyperlink" Target="https://meteor.aihw.gov.au/content/394092" TargetMode="External" Id="R7eba5bc5a39b4fc1" /><Relationship Type="http://schemas.openxmlformats.org/officeDocument/2006/relationships/hyperlink" Target="https://meteor.aihw.gov.au/content/291036" TargetMode="External" Id="R5e78049dbf9c4763" /><Relationship Type="http://schemas.openxmlformats.org/officeDocument/2006/relationships/hyperlink" Target="https://meteor.aihw.gov.au/content/394352" TargetMode="External" Id="Radbb5c7f3ee045a7" /><Relationship Type="http://schemas.openxmlformats.org/officeDocument/2006/relationships/hyperlink" Target="https://meteor.aihw.gov.au/content/374205" TargetMode="External" Id="Re9525fca50e74301" /><Relationship Type="http://schemas.openxmlformats.org/officeDocument/2006/relationships/hyperlink" Target="https://meteor.aihw.gov.au/content/377103" TargetMode="External" Id="Rf1078a0885d843f6" /><Relationship Type="http://schemas.openxmlformats.org/officeDocument/2006/relationships/hyperlink" Target="https://meteor.aihw.gov.au/content/394352" TargetMode="External" Id="R49191ede816942d7" /><Relationship Type="http://schemas.openxmlformats.org/officeDocument/2006/relationships/hyperlink" Target="https://meteor.aihw.gov.au/content/374205" TargetMode="External" Id="R12fad80c803442b5" /><Relationship Type="http://schemas.openxmlformats.org/officeDocument/2006/relationships/hyperlink" Target="https://meteor.aihw.gov.au/content/392591" TargetMode="External" Id="Re6bb1f7b9be14589" /><Relationship Type="http://schemas.openxmlformats.org/officeDocument/2006/relationships/hyperlink" Target="https://meteor.aihw.gov.au/content/392587" TargetMode="External" Id="R6574bc627a6d465a" /><Relationship Type="http://schemas.openxmlformats.org/officeDocument/2006/relationships/hyperlink" Target="https://meteor.aihw.gov.au/content/392584" TargetMode="External" Id="Rf34800171956481d" /><Relationship Type="http://schemas.openxmlformats.org/officeDocument/2006/relationships/hyperlink" Target="https://meteor.aihw.gov.au/content/393625" TargetMode="External" Id="R88cfdd15ed65427c" /><Relationship Type="http://schemas.openxmlformats.org/officeDocument/2006/relationships/hyperlink" Target="https://meteor.aihw.gov.au/content/449216" TargetMode="External" Id="R8133c09f83854032" /><Relationship Type="http://schemas.openxmlformats.org/officeDocument/2006/relationships/hyperlink" Target="https://meteor.aihw.gov.au/content/394352" TargetMode="External" Id="R53fbdf3ef2714efa" /><Relationship Type="http://schemas.openxmlformats.org/officeDocument/2006/relationships/hyperlink" Target="https://meteor.aihw.gov.au/content/394092" TargetMode="External" Id="Rbff23a41eb054adf" /><Relationship Type="http://schemas.openxmlformats.org/officeDocument/2006/relationships/hyperlink" Target="https://meteor.aihw.gov.au/content/449223" TargetMode="External" Id="R7f516479122c41f4" /><Relationship Type="http://schemas.openxmlformats.org/officeDocument/2006/relationships/hyperlink" Target="https://meteor.aihw.gov.au/content/443697" TargetMode="External" Id="Raeb8e5c93d74402b" /><Relationship Type="http://schemas.openxmlformats.org/officeDocument/2006/relationships/hyperlink" Target="https://meteor.aihw.gov.au/content/421649" TargetMode="External" Id="Rf3f676560c8e4cc7" /><Relationship Type="http://schemas.openxmlformats.org/officeDocument/2006/relationships/hyperlink" Target="https://meteor.aihw.gov.au/RegistrationAuthority/12" TargetMode="External" Id="R8d27905a01fe43a9" /><Relationship Type="http://schemas.openxmlformats.org/officeDocument/2006/relationships/hyperlink" Target="https://meteor.aihw.gov.au/content/497224" TargetMode="External" Id="R9a7eb1af273e492c" /><Relationship Type="http://schemas.openxmlformats.org/officeDocument/2006/relationships/hyperlink" Target="https://meteor.aihw.gov.au/RegistrationAuthority/12" TargetMode="External" Id="R34a00ca796524aa9" /><Relationship Type="http://schemas.openxmlformats.org/officeDocument/2006/relationships/hyperlink" Target="https://meteor.aihw.gov.au/content/443697" TargetMode="External" Id="R7a1cf6d4fff149f6" /><Relationship Type="http://schemas.openxmlformats.org/officeDocument/2006/relationships/hyperlink" Target="https://meteor.aihw.gov.au/RegistrationAuthority/12" TargetMode="External" Id="R6af66ece06ab446f" /><Relationship Type="http://schemas.openxmlformats.org/officeDocument/2006/relationships/hyperlink" Target="https://meteor.aihw.gov.au/content/436839" TargetMode="External" Id="R6b8f52a53f8949f2" /><Relationship Type="http://schemas.openxmlformats.org/officeDocument/2006/relationships/hyperlink" Target="https://meteor.aihw.gov.au/RegistrationAuthority/12" TargetMode="External" Id="R03daab063d5d4a96" /><Relationship Type="http://schemas.openxmlformats.org/officeDocument/2006/relationships/hyperlink" Target="https://meteor.aihw.gov.au/content/435982" TargetMode="External" Id="R6424ddfde6444f62" /><Relationship Type="http://schemas.openxmlformats.org/officeDocument/2006/relationships/hyperlink" Target="https://meteor.aihw.gov.au/RegistrationAuthority/12" TargetMode="External" Id="Re575c76ef4334ee8" /><Relationship Type="http://schemas.openxmlformats.org/officeDocument/2006/relationships/hyperlink" Target="https://meteor.aihw.gov.au/content/443685" TargetMode="External" Id="R91faaf23f5124ad8" /><Relationship Type="http://schemas.openxmlformats.org/officeDocument/2006/relationships/hyperlink" Target="https://meteor.aihw.gov.au/RegistrationAuthority/12" TargetMode="External" Id="Rd8ba478163834149" /><Relationship Type="http://schemas.openxmlformats.org/officeDocument/2006/relationships/hyperlink" Target="https://meteor.aihw.gov.au/content/441378" TargetMode="External" Id="R5cc977e4d3774396" /><Relationship Type="http://schemas.openxmlformats.org/officeDocument/2006/relationships/hyperlink" Target="https://meteor.aihw.gov.au/RegistrationAuthority/12" TargetMode="External" Id="R5b563dca9046437c" /><Relationship Type="http://schemas.openxmlformats.org/officeDocument/2006/relationships/hyperlink" Target="https://meteor.aihw.gov.au/content/435988" TargetMode="External" Id="Rf73fe8fa99e44836" /><Relationship Type="http://schemas.openxmlformats.org/officeDocument/2006/relationships/hyperlink" Target="https://meteor.aihw.gov.au/RegistrationAuthority/12" TargetMode="External" Id="Ra6191f2b687f40c8" /><Relationship Type="http://schemas.openxmlformats.org/officeDocument/2006/relationships/hyperlink" Target="https://meteor.aihw.gov.au/content/443711" TargetMode="External" Id="Rdd97403370c34304" /><Relationship Type="http://schemas.openxmlformats.org/officeDocument/2006/relationships/hyperlink" Target="https://meteor.aihw.gov.au/RegistrationAuthority/12" TargetMode="External" Id="R166cd772698144fb" /><Relationship Type="http://schemas.openxmlformats.org/officeDocument/2006/relationships/hyperlink" Target="https://meteor.aihw.gov.au/content/435873" TargetMode="External" Id="R8db4823589fd40e7" /><Relationship Type="http://schemas.openxmlformats.org/officeDocument/2006/relationships/hyperlink" Target="https://meteor.aihw.gov.au/RegistrationAuthority/12" TargetMode="External" Id="R2a0406f710e64a05" /><Relationship Type="http://schemas.openxmlformats.org/officeDocument/2006/relationships/hyperlink" Target="https://meteor.aihw.gov.au/content/435878" TargetMode="External" Id="R86a447a318d64897" /><Relationship Type="http://schemas.openxmlformats.org/officeDocument/2006/relationships/hyperlink" Target="https://meteor.aihw.gov.au/RegistrationAuthority/12" TargetMode="External" Id="R1497d66a05fa41b6" /><Relationship Type="http://schemas.openxmlformats.org/officeDocument/2006/relationships/hyperlink" Target="https://meteor.aihw.gov.au/content/438499" TargetMode="External" Id="R3a5bb1a3fbc0449d" /><Relationship Type="http://schemas.openxmlformats.org/officeDocument/2006/relationships/hyperlink" Target="https://meteor.aihw.gov.au/RegistrationAuthority/6" TargetMode="External" Id="Rd061b0fdb206454d" /></Relationships>
</file>

<file path=word/_rels/header1.xml.rels>&#65279;<?xml version="1.0" encoding="utf-8"?><Relationships xmlns="http://schemas.openxmlformats.org/package/2006/relationships"><Relationship Type="http://schemas.openxmlformats.org/officeDocument/2006/relationships/image" Target="/media/image.png" Id="R04e4445bea3d491c" /></Relationships>
</file>