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dfbd87c5043d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mode (Tasmanian)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89e5b7dd24556">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separation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04737208c43c7">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5969a0620f4ac4">
              <w:r>
                <w:rPr>
                  <w:rStyle w:val="Hyperlink"/>
                </w:rPr>
                <w:t xml:space="preserve">Tasmanian separation mode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01e700aff04690">
              <w:r>
                <w:rPr>
                  <w:rStyle w:val="Hyperlink"/>
                </w:rPr>
                <w:t xml:space="preserve">Episode of admitted patient care—discharge method, Tasmanian code X[XX]</w:t>
              </w:r>
            </w:hyperlink>
          </w:p>
          <w:p>
            <w:pPr>
              <w:spacing w:before="0" w:after="0"/>
            </w:pPr>
            <w:r>
              <w:rPr>
                <w:rStyle w:val="row-content"/>
                <w:color w:val="244061"/>
              </w:rPr>
              <w:t xml:space="preserve">       </w:t>
            </w:r>
            <w:hyperlink w:history="true" r:id="Rabeb042432534bf2">
              <w:r>
                <w:rPr>
                  <w:rStyle w:val="Hyperlink"/>
                  <w:color w:val="244061"/>
                </w:rPr>
                <w:t xml:space="preserve">Tasmanian Health</w:t>
              </w:r>
            </w:hyperlink>
            <w:r>
              <w:rPr>
                <w:rStyle w:val="row-content"/>
                <w:color w:val="244061"/>
              </w:rPr>
              <w:t xml:space="preserve">, Standard 10/11/2023</w:t>
            </w:r>
          </w:p>
          <w:p>
            <w:r>
              <w:br/>
            </w:r>
            <w:r>
              <w:rPr>
                <w:rStyle w:val="row-content"/>
              </w:rPr>
              <w:t xml:space="preserve">Is used in the formation of </w:t>
            </w:r>
            <w:hyperlink w:history="true" r:id="Rb40f9b033b5e4093">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b8f008dd721d4f34">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628b34e350f04f55">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e3e0fefbffe4402e">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09df84bdd1604d80">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2f72b0aba68342b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ebc793d5d35f474c">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74ecc805cbad4d53">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5f9627877ead4e2e">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035c83ee53e44156">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46cfd6a44b5f4969">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588ce3849df44c4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991aa7297dd74487">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fa0f036509d4a1e">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82ad660bff4bac">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0f90ab5c3cbc4558">
              <w:r>
                <w:rPr>
                  <w:rStyle w:val="Hyperlink"/>
                  <w:color w:val="244061"/>
                </w:rPr>
                <w:t xml:space="preserve">Tasmanian Health</w:t>
              </w:r>
            </w:hyperlink>
            <w:r>
              <w:rPr>
                <w:rStyle w:val="row-content"/>
                <w:color w:val="244061"/>
              </w:rPr>
              <w:t xml:space="preserve">, Superseded 10/11/2023</w:t>
            </w:r>
          </w:p>
          <w:p>
            <w:r>
              <w:br/>
            </w:r>
            <w:hyperlink w:history="true" r:id="Rd6f2c076d82b4001">
              <w:r>
                <w:rPr>
                  <w:rStyle w:val="Hyperlink"/>
                </w:rPr>
                <w:t xml:space="preserve">Tasmanian Admitted Patient Data Set - 2016</w:t>
              </w:r>
            </w:hyperlink>
          </w:p>
          <w:p>
            <w:pPr>
              <w:spacing w:before="0" w:after="0"/>
            </w:pPr>
            <w:r>
              <w:rPr>
                <w:rStyle w:val="row-content"/>
                <w:color w:val="244061"/>
              </w:rPr>
              <w:t xml:space="preserve">       </w:t>
            </w:r>
            <w:hyperlink w:history="true" r:id="Rb42677824bbf4a3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5e8c407248f4b55">
              <w:r>
                <w:rPr>
                  <w:rStyle w:val="Hyperlink"/>
                </w:rPr>
                <w:t xml:space="preserve">Tasmanian Admitted Patient Data Set - 2017</w:t>
              </w:r>
            </w:hyperlink>
          </w:p>
          <w:p>
            <w:pPr>
              <w:spacing w:before="0" w:after="0"/>
            </w:pPr>
            <w:r>
              <w:rPr>
                <w:rStyle w:val="row-content"/>
                <w:color w:val="244061"/>
              </w:rPr>
              <w:t xml:space="preserve">       </w:t>
            </w:r>
            <w:hyperlink w:history="true" r:id="R8dc58f9712aa463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abddac8732e48da">
              <w:r>
                <w:rPr>
                  <w:rStyle w:val="Hyperlink"/>
                </w:rPr>
                <w:t xml:space="preserve">Tasmanian Admitted Patient Data Set - 2018</w:t>
              </w:r>
            </w:hyperlink>
          </w:p>
          <w:p>
            <w:pPr>
              <w:spacing w:before="0" w:after="0"/>
            </w:pPr>
            <w:r>
              <w:rPr>
                <w:rStyle w:val="row-content"/>
                <w:color w:val="244061"/>
              </w:rPr>
              <w:t xml:space="preserve">       </w:t>
            </w:r>
            <w:hyperlink w:history="true" r:id="Rbde97ea47ff9458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56b3472f582435d">
              <w:r>
                <w:rPr>
                  <w:rStyle w:val="Hyperlink"/>
                </w:rPr>
                <w:t xml:space="preserve">Tasmanian Admitted Patient Data Set - 2019</w:t>
              </w:r>
            </w:hyperlink>
          </w:p>
          <w:p>
            <w:pPr>
              <w:spacing w:before="0" w:after="0"/>
            </w:pPr>
            <w:r>
              <w:rPr>
                <w:rStyle w:val="row-content"/>
                <w:color w:val="244061"/>
              </w:rPr>
              <w:t xml:space="preserve">       </w:t>
            </w:r>
            <w:hyperlink w:history="true" r:id="Rd9281a5d76ad413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538be511fc149da">
              <w:r>
                <w:rPr>
                  <w:rStyle w:val="Hyperlink"/>
                </w:rPr>
                <w:t xml:space="preserve">Tasmanian Admitted Patient Data Set - 2020</w:t>
              </w:r>
            </w:hyperlink>
          </w:p>
          <w:p>
            <w:pPr>
              <w:spacing w:before="0" w:after="0"/>
            </w:pPr>
            <w:r>
              <w:rPr>
                <w:rStyle w:val="row-content"/>
                <w:color w:val="244061"/>
              </w:rPr>
              <w:t xml:space="preserve">       </w:t>
            </w:r>
            <w:hyperlink w:history="true" r:id="R1322831d193a445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fb9eca57dc04d23">
              <w:r>
                <w:rPr>
                  <w:rStyle w:val="Hyperlink"/>
                </w:rPr>
                <w:t xml:space="preserve">Tasmanian Admitted Patient Data Set - 2021</w:t>
              </w:r>
            </w:hyperlink>
          </w:p>
          <w:p>
            <w:pPr>
              <w:spacing w:before="0" w:after="0"/>
            </w:pPr>
            <w:r>
              <w:rPr>
                <w:rStyle w:val="row-content"/>
                <w:color w:val="244061"/>
              </w:rPr>
              <w:t xml:space="preserve">       </w:t>
            </w:r>
            <w:hyperlink w:history="true" r:id="R82cb56e6b2d6494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669d150705d43d6">
              <w:r>
                <w:rPr>
                  <w:rStyle w:val="Hyperlink"/>
                </w:rPr>
                <w:t xml:space="preserve">Tasmanian Admitted Patient Data Set - 2022</w:t>
              </w:r>
            </w:hyperlink>
          </w:p>
          <w:p>
            <w:pPr>
              <w:spacing w:before="0" w:after="0"/>
            </w:pPr>
            <w:r>
              <w:rPr>
                <w:rStyle w:val="row-content"/>
                <w:color w:val="244061"/>
              </w:rPr>
              <w:t xml:space="preserve">       </w:t>
            </w:r>
            <w:hyperlink w:history="true" r:id="Rcd63933d1a934ca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6f1812b7159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ff1660666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1812b71594098" /><Relationship Type="http://schemas.openxmlformats.org/officeDocument/2006/relationships/header" Target="/word/header1.xml" Id="Rc8dff308a39f421f" /><Relationship Type="http://schemas.openxmlformats.org/officeDocument/2006/relationships/settings" Target="/word/settings.xml" Id="Rcd1c4de22a1e4899" /><Relationship Type="http://schemas.openxmlformats.org/officeDocument/2006/relationships/styles" Target="/word/styles.xml" Id="R9b527e2c46d14395" /><Relationship Type="http://schemas.openxmlformats.org/officeDocument/2006/relationships/hyperlink" Target="https://meteor.aihw.gov.au/RegistrationAuthority/15" TargetMode="External" Id="R65489e5b7dd24556" /><Relationship Type="http://schemas.openxmlformats.org/officeDocument/2006/relationships/hyperlink" Target="https://meteor.aihw.gov.au/content/269562" TargetMode="External" Id="Rb6804737208c43c7" /><Relationship Type="http://schemas.openxmlformats.org/officeDocument/2006/relationships/hyperlink" Target="https://meteor.aihw.gov.au/content/441659" TargetMode="External" Id="Rd85969a0620f4ac4" /><Relationship Type="http://schemas.openxmlformats.org/officeDocument/2006/relationships/hyperlink" Target="https://meteor.aihw.gov.au/content/785617" TargetMode="External" Id="R7c01e700aff04690" /><Relationship Type="http://schemas.openxmlformats.org/officeDocument/2006/relationships/hyperlink" Target="https://meteor.aihw.gov.au/RegistrationAuthority/15" TargetMode="External" Id="Rabeb042432534bf2" /><Relationship Type="http://schemas.openxmlformats.org/officeDocument/2006/relationships/hyperlink" Target="https://meteor.aihw.gov.au/content/729933" TargetMode="External" Id="Rb40f9b033b5e4093" /><Relationship Type="http://schemas.openxmlformats.org/officeDocument/2006/relationships/hyperlink" Target="https://meteor.aihw.gov.au/RegistrationAuthority/15" TargetMode="External" Id="Rb8f008dd721d4f34" /><Relationship Type="http://schemas.openxmlformats.org/officeDocument/2006/relationships/hyperlink" Target="https://meteor.aihw.gov.au/content/774467" TargetMode="External" Id="R628b34e350f04f55" /><Relationship Type="http://schemas.openxmlformats.org/officeDocument/2006/relationships/hyperlink" Target="https://meteor.aihw.gov.au/RegistrationAuthority/15" TargetMode="External" Id="Re3e0fefbffe4402e" /><Relationship Type="http://schemas.openxmlformats.org/officeDocument/2006/relationships/hyperlink" Target="https://meteor.aihw.gov.au/content/481958" TargetMode="External" Id="R09df84bdd1604d80" /><Relationship Type="http://schemas.openxmlformats.org/officeDocument/2006/relationships/hyperlink" Target="https://meteor.aihw.gov.au/RegistrationAuthority/15" TargetMode="External" Id="R2f72b0aba68342bd" /><Relationship Type="http://schemas.openxmlformats.org/officeDocument/2006/relationships/hyperlink" Target="https://meteor.aihw.gov.au/content/652964" TargetMode="External" Id="Rebc793d5d35f474c" /><Relationship Type="http://schemas.openxmlformats.org/officeDocument/2006/relationships/hyperlink" Target="https://meteor.aihw.gov.au/RegistrationAuthority/15" TargetMode="External" Id="R74ecc805cbad4d53" /><Relationship Type="http://schemas.openxmlformats.org/officeDocument/2006/relationships/hyperlink" Target="https://meteor.aihw.gov.au/content/653016" TargetMode="External" Id="R5f9627877ead4e2e" /><Relationship Type="http://schemas.openxmlformats.org/officeDocument/2006/relationships/hyperlink" Target="https://meteor.aihw.gov.au/RegistrationAuthority/15" TargetMode="External" Id="R035c83ee53e44156" /><Relationship Type="http://schemas.openxmlformats.org/officeDocument/2006/relationships/hyperlink" Target="https://meteor.aihw.gov.au/content/653051" TargetMode="External" Id="R46cfd6a44b5f4969" /><Relationship Type="http://schemas.openxmlformats.org/officeDocument/2006/relationships/hyperlink" Target="https://meteor.aihw.gov.au/RegistrationAuthority/15" TargetMode="External" Id="R588ce3849df44c4a" /><Relationship Type="http://schemas.openxmlformats.org/officeDocument/2006/relationships/hyperlink" Target="https://meteor.aihw.gov.au/content/689947" TargetMode="External" Id="R991aa7297dd74487" /><Relationship Type="http://schemas.openxmlformats.org/officeDocument/2006/relationships/hyperlink" Target="https://meteor.aihw.gov.au/RegistrationAuthority/15" TargetMode="External" Id="R5fa0f036509d4a1e" /><Relationship Type="http://schemas.openxmlformats.org/officeDocument/2006/relationships/hyperlink" Target="https://meteor.aihw.gov.au/content/743876" TargetMode="External" Id="Rd782ad660bff4bac" /><Relationship Type="http://schemas.openxmlformats.org/officeDocument/2006/relationships/hyperlink" Target="https://meteor.aihw.gov.au/RegistrationAuthority/15" TargetMode="External" Id="R0f90ab5c3cbc4558" /><Relationship Type="http://schemas.openxmlformats.org/officeDocument/2006/relationships/hyperlink" Target="https://meteor.aihw.gov.au/content/662710" TargetMode="External" Id="Rd6f2c076d82b4001" /><Relationship Type="http://schemas.openxmlformats.org/officeDocument/2006/relationships/hyperlink" Target="https://meteor.aihw.gov.au/RegistrationAuthority/15" TargetMode="External" Id="Rb42677824bbf4a36" /><Relationship Type="http://schemas.openxmlformats.org/officeDocument/2006/relationships/hyperlink" Target="https://meteor.aihw.gov.au/content/667734" TargetMode="External" Id="R55e8c407248f4b55" /><Relationship Type="http://schemas.openxmlformats.org/officeDocument/2006/relationships/hyperlink" Target="https://meteor.aihw.gov.au/RegistrationAuthority/15" TargetMode="External" Id="R8dc58f9712aa463a" /><Relationship Type="http://schemas.openxmlformats.org/officeDocument/2006/relationships/hyperlink" Target="https://meteor.aihw.gov.au/content/689879" TargetMode="External" Id="R3abddac8732e48da" /><Relationship Type="http://schemas.openxmlformats.org/officeDocument/2006/relationships/hyperlink" Target="https://meteor.aihw.gov.au/RegistrationAuthority/15" TargetMode="External" Id="Rbde97ea47ff94588" /><Relationship Type="http://schemas.openxmlformats.org/officeDocument/2006/relationships/hyperlink" Target="https://meteor.aihw.gov.au/content/715026" TargetMode="External" Id="R856b3472f582435d" /><Relationship Type="http://schemas.openxmlformats.org/officeDocument/2006/relationships/hyperlink" Target="https://meteor.aihw.gov.au/RegistrationAuthority/15" TargetMode="External" Id="Rd9281a5d76ad4130" /><Relationship Type="http://schemas.openxmlformats.org/officeDocument/2006/relationships/hyperlink" Target="https://meteor.aihw.gov.au/content/729751" TargetMode="External" Id="R6538be511fc149da" /><Relationship Type="http://schemas.openxmlformats.org/officeDocument/2006/relationships/hyperlink" Target="https://meteor.aihw.gov.au/RegistrationAuthority/15" TargetMode="External" Id="R1322831d193a4450" /><Relationship Type="http://schemas.openxmlformats.org/officeDocument/2006/relationships/hyperlink" Target="https://meteor.aihw.gov.au/content/740979" TargetMode="External" Id="Rdfb9eca57dc04d23" /><Relationship Type="http://schemas.openxmlformats.org/officeDocument/2006/relationships/hyperlink" Target="https://meteor.aihw.gov.au/RegistrationAuthority/15" TargetMode="External" Id="R82cb56e6b2d64948" /><Relationship Type="http://schemas.openxmlformats.org/officeDocument/2006/relationships/hyperlink" Target="https://meteor.aihw.gov.au/content/761036" TargetMode="External" Id="R2669d150705d43d6" /><Relationship Type="http://schemas.openxmlformats.org/officeDocument/2006/relationships/hyperlink" Target="https://meteor.aihw.gov.au/RegistrationAuthority/15" TargetMode="External" Id="Rcd63933d1a934caf" /></Relationships>
</file>

<file path=word/_rels/header1.xml.rels>&#65279;<?xml version="1.0" encoding="utf-8"?><Relationships xmlns="http://schemas.openxmlformats.org/package/2006/relationships"><Relationship Type="http://schemas.openxmlformats.org/officeDocument/2006/relationships/image" Target="/media/image.png" Id="R7f3ff166066641e8" /></Relationships>
</file>