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05274b30f849b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(and excess deaths) by leading causes,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bddc329e94d0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leading causes of death (ICD-10 chapter level), by Indigenous status.</w:t>
            </w:r>
          </w:p>
          <w:p>
            <w:pPr/>
            <w:r>
              <w:rPr>
                <w:rStyle w:val="row-content-rich-text"/>
              </w:rPr>
              <w:t xml:space="preserve">Measure (1b): Excess deaths for Indigenous Australians by the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f7352021fd4ad7">
              <w:r>
                <w:rPr>
                  <w:rStyle w:val="Hyperlink"/>
                </w:rPr>
                <w:t xml:space="preserve">National Indigenous Reform Agreement (2012)</w:t>
              </w:r>
            </w:hyperlink>
          </w:p>
          <w:p>
            <w:pPr>
              <w:spacing w:before="0" w:after="0"/>
            </w:pPr>
            <w:r>
              <w:rPr>
                <w:rStyle w:val="row-content"/>
                <w:color w:val="244061"/>
              </w:rPr>
              <w:t xml:space="preserve">       </w:t>
            </w:r>
            <w:hyperlink w:history="true" r:id="R0d96c63ef17f4b2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dd5dd539c44efe">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4e41e54baee14f70">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bcef36ec4a4120">
              <w:r>
                <w:rPr>
                  <w:rStyle w:val="Hyperlink"/>
                </w:rPr>
                <w:t xml:space="preserve">National Indigenous Reform Agreement: PI 02-Mortality rate (and excess deaths) by leading causes, 2012 QS</w:t>
              </w:r>
            </w:hyperlink>
          </w:p>
          <w:p>
            <w:pPr>
              <w:spacing w:before="0" w:after="0"/>
            </w:pPr>
            <w:r>
              <w:rPr>
                <w:rStyle w:val="row-content"/>
                <w:color w:val="244061"/>
              </w:rPr>
              <w:t xml:space="preserve">       </w:t>
            </w:r>
            <w:hyperlink w:history="true" r:id="R8fc15dbf65284caf">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(1a): Number, percentage, rate per 100,000 persons; rate ratios, rate differences, variability bands; and causes (as per list contained in ‘Definitions’ below) listed from highest to lowest percentage.</w:t>
            </w:r>
          </w:p>
          <w:p>
            <w:pPr>
              <w:spacing w:after="160"/>
            </w:pPr>
            <w:r>
              <w:rPr>
                <w:rStyle w:val="row-content-rich-text"/>
              </w:rPr>
              <w:t xml:space="preserve">(1b): Number (observed, expected, excess); percentage (per cent of excess deaths);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Excess deaths: observed number of deaths less expected number of deaths if the age-specific rates of the non-Indigenous population for the corresponding period were applied to the Indigenous population.</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(1a):</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to 75 years and over and the Australian population as at 30 June 2001 as the standard. Age-standardisation should be done in accordance with the NIRAPIMG agreed principles for direct age-standardisation (see Comments section).</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b/>
              </w:rPr>
              <w:t xml:space="preserve">    </w:t>
            </w:r>
            <w:hyperlink w:history="true" r:id="R4d92fcdfb4744090">
              <w:r>
                <w:drawing>
                  <wp:inline xmlns:wp="http://schemas.openxmlformats.org/drawingml/2006/wordprocessingDrawing" distT="0" distB="0" distL="0" distR="0">
                    <wp:extent cx="3200400" cy="942975"/>
                    <wp:effectExtent l="19050" t="0" r="0" b="0"/>
                    <wp:docPr id="2" name="Picture 2" descr="">
                      <a:hlinkClick xmlns:a="http://schemas.openxmlformats.org/drawingml/2006/main" r:id="R4d92fcdfb4744090"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4a58f7e7242c4b20"/>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Where d = the number of deaths </w:t>
            </w:r>
          </w:p>
          <w:p>
            <w:pPr>
              <w:spacing w:after="160"/>
            </w:pPr>
            <w:r>
              <w:rPr>
                <w:rStyle w:val="row-content-rich-text"/>
                <w:b/>
                <w:i/>
              </w:rPr>
              <w:t xml:space="preserve">Age-standardised rate:</w:t>
            </w:r>
          </w:p>
          <w:p>
            <w:pPr>
              <w:spacing w:after="160"/>
            </w:pPr>
            <w:r>
              <w:rPr>
                <w:rStyle w:val="row-content-rich-text"/>
                <w:b/>
              </w:rPr>
              <w:t xml:space="preserve">     </w:t>
            </w:r>
            <w:hyperlink w:history="true" r:id="Ree80f0dfcd5a429a">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ee80f0dfcd5a429a"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de920817a81c4b75"/>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b/>
              </w:rPr>
              <w:t xml:space="preserve"> Where w</w:t>
            </w:r>
            <w:r>
              <w:rPr>
                <w:rStyle w:val="row-content-rich-text"/>
                <w:b/>
                <w:vertAlign w:val="subscript"/>
              </w:rPr>
              <w:t xml:space="preserve">i</w:t>
            </w:r>
            <w:r>
              <w:rPr>
                <w:rStyle w:val="row-content-rich-text"/>
                <w:b/>
              </w:rPr>
              <w:t xml:space="preserve"> = the proportion of the standard population in age group i</w:t>
            </w:r>
          </w:p>
          <w:p>
            <w:pPr>
              <w:spacing w:after="160"/>
            </w:pPr>
            <w:r>
              <w:rPr>
                <w:rStyle w:val="row-content-rich-text"/>
                <w:b/>
              </w:rPr>
              <w:t xml:space="preserve">d</w:t>
            </w:r>
            <w:r>
              <w:rPr>
                <w:rStyle w:val="row-content-rich-text"/>
                <w:b/>
                <w:vertAlign w:val="subscript"/>
              </w:rPr>
              <w:t xml:space="preserve">i</w:t>
            </w:r>
            <w:r>
              <w:rPr>
                <w:rStyle w:val="row-content-rich-text"/>
                <w:b/>
              </w:rPr>
              <w:t xml:space="preserve"> = the number of deaths in age group i</w:t>
            </w:r>
          </w:p>
          <w:p>
            <w:pPr>
              <w:spacing w:after="160"/>
            </w:pPr>
            <w:r>
              <w:rPr>
                <w:rStyle w:val="row-content-rich-text"/>
                <w:b/>
              </w:rPr>
              <w:t xml:space="preserve">n</w:t>
            </w:r>
            <w:r>
              <w:rPr>
                <w:rStyle w:val="row-content-rich-text"/>
                <w:b/>
                <w:vertAlign w:val="subscript"/>
              </w:rPr>
              <w:t xml:space="preserve">i</w:t>
            </w:r>
            <w:r>
              <w:rPr>
                <w:rStyle w:val="row-content-rich-text"/>
                <w:b/>
              </w:rPr>
              <w:t xml:space="preserve"> = the number of people in the population in age group i</w:t>
            </w:r>
          </w:p>
          <w:p>
            <w:pPr>
              <w:spacing w:after="160"/>
            </w:pPr>
            <w:r>
              <w:rPr>
                <w:rStyle w:val="row-content-rich-text"/>
                <w:b/>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w:t>
            </w:r>
            <w:r>
              <w:rPr>
                <w:rStyle w:val="row-content-rich-text"/>
                <w:b/>
                <w:i/>
              </w:rPr>
              <w:t xml:space="preserve">CI</w:t>
            </w:r>
            <w:r>
              <w:rPr>
                <w:rStyle w:val="row-content-rich-text"/>
                <w:b/>
              </w:rPr>
              <w:t xml:space="preserve">(</w:t>
            </w:r>
            <w:r>
              <w:rPr>
                <w:rStyle w:val="row-content-rich-text"/>
                <w:b/>
                <w:i/>
              </w:rPr>
              <w:t xml:space="preserve">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w:t>
            </w:r>
            <w:r>
              <w:rPr>
                <w:rStyle w:val="row-content-rich-text"/>
                <w:b/>
              </w:rPr>
              <w:t xml:space="preserve">(</w:t>
            </w:r>
            <w:r>
              <w:rPr>
                <w:rStyle w:val="row-content-rich-text"/>
                <w:b/>
                <w:i/>
              </w:rPr>
              <w:t xml:space="preserve">x</w:t>
            </w:r>
            <w:r>
              <w:rPr>
                <w:rStyle w:val="row-content-rich-text"/>
                <w:b/>
              </w:rPr>
              <w:t xml:space="preserve">)</w:t>
            </w:r>
          </w:p>
          <w:p>
            <w:pPr>
              <w:spacing w:after="160"/>
            </w:pPr>
            <w:r>
              <w:rPr>
                <w:rStyle w:val="row-content-rich-text"/>
                <w:b/>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(1b):</w:t>
            </w:r>
          </w:p>
          <w:p>
            <w:pPr/>
            <w:r>
              <w:rPr>
                <w:rStyle w:val="row-content-rich-text"/>
                <w:b/>
              </w:rPr>
              <w:t xml:space="preserve">Observed number of Indigenous deaths less expected number of Indigenous deaths if the age specific rates of the non-Indigenous population for the corresponding period were applied to the Indigenous population. Percentage by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ec879f9abe4471">
              <w:r>
                <w:rPr>
                  <w:rStyle w:val="Hyperlink"/>
                </w:rPr>
                <w:t xml:space="preserve">Person—date of birth, DDMMYYYY</w:t>
              </w:r>
            </w:hyperlink>
          </w:p>
          <w:p>
            <w:r>
              <w:rPr>
                <w:rStyle w:val="row-content"/>
                <w:b/>
              </w:rPr>
              <w:t xml:space="preserve">Data Source</w:t>
            </w:r>
          </w:p>
          <w:p>
            <w:hyperlink w:history="true" r:id="Rdaa5d4ec020d4ab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2cae5256bf34797">
              <w:r>
                <w:rPr>
                  <w:rStyle w:val="Hyperlink"/>
                </w:rPr>
                <w:t xml:space="preserve">Person—date of birth, DDMMYYYY</w:t>
              </w:r>
            </w:hyperlink>
          </w:p>
          <w:p>
            <w:r>
              <w:rPr>
                <w:rStyle w:val="row-content"/>
                <w:b/>
              </w:rPr>
              <w:t xml:space="preserve">Data Source</w:t>
            </w:r>
          </w:p>
          <w:p>
            <w:hyperlink w:history="true" r:id="R6e2420f774a3448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af7d506f9eb4a3e">
              <w:r>
                <w:rPr>
                  <w:rStyle w:val="Hyperlink"/>
                </w:rPr>
                <w:t xml:space="preserve">Person—date of death, DDMMYYYY</w:t>
              </w:r>
            </w:hyperlink>
          </w:p>
          <w:p>
            <w:r>
              <w:rPr>
                <w:rStyle w:val="row-content"/>
                <w:b/>
              </w:rPr>
              <w:t xml:space="preserve">Data Source</w:t>
            </w:r>
          </w:p>
          <w:p>
            <w:hyperlink w:history="true" r:id="R089b40c18faa40f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a491eddc78644bd">
              <w:r>
                <w:rPr>
                  <w:rStyle w:val="Hyperlink"/>
                </w:rPr>
                <w:t xml:space="preserve">Person—date of death, DDMMYYYY</w:t>
              </w:r>
            </w:hyperlink>
          </w:p>
          <w:p>
            <w:r>
              <w:rPr>
                <w:rStyle w:val="row-content"/>
                <w:b/>
              </w:rPr>
              <w:t xml:space="preserve">Data Source</w:t>
            </w:r>
          </w:p>
          <w:p>
            <w:hyperlink w:history="true" r:id="R98e2699aa29b4a1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b8a456eaf42bf">
              <w:r>
                <w:rPr>
                  <w:rStyle w:val="Hyperlink"/>
                </w:rPr>
                <w:t xml:space="preserve">Person—estimated resident population of Australia, total people N[N(7)]</w:t>
              </w:r>
            </w:hyperlink>
          </w:p>
          <w:p>
            <w:r>
              <w:rPr>
                <w:rStyle w:val="row-content"/>
                <w:b/>
              </w:rPr>
              <w:t xml:space="preserve">Data Source</w:t>
            </w:r>
          </w:p>
          <w:p>
            <w:hyperlink w:history="true" r:id="R3a37cfc43493415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estimates of fertility, mortality, net migration etc.</w:t>
            </w:r>
          </w:p>
          <w:p>
            <w:r>
              <w:rPr>
                <w:rStyle w:val="row-content"/>
                <w:b/>
                <w:color w:val="000000"/>
              </w:rPr>
              <w:t xml:space="preserve">Data Element / Data Set</w:t>
            </w:r>
          </w:p>
          <w:p>
            <w:hyperlink w:history="true" r:id="R5eb80dd784de470b">
              <w:r>
                <w:rPr>
                  <w:rStyle w:val="Hyperlink"/>
                </w:rPr>
                <w:t xml:space="preserve">Person—estimated resident population of Australia, total people N[N(7)]</w:t>
              </w:r>
            </w:hyperlink>
          </w:p>
          <w:p>
            <w:r>
              <w:rPr>
                <w:rStyle w:val="row-content"/>
                <w:b/>
              </w:rPr>
              <w:t xml:space="preserve">Data Source</w:t>
            </w:r>
          </w:p>
          <w:p>
            <w:hyperlink w:history="true" r:id="R8d346b753ee147d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- 2005-2009:</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leading cause of death including total (ICD-10 chapter level and some sub-chapter level).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leading cause of death including total (ICD-10 chapter level and some sub-chapter level), by Indigenous status.</w:t>
            </w:r>
          </w:p>
          <w:p>
            <w:pPr>
              <w:pStyle w:val="ListParagraph"/>
              <w:numPr>
                <w:ilvl w:val="0"/>
                <w:numId w:val="5"/>
              </w:numPr>
            </w:pPr>
            <w:r>
              <w:rPr>
                <w:rStyle w:val="row-content-rich-text"/>
              </w:rPr>
              <w:t xml:space="preserve">State and Territory (including national total) by sex by leading cause of death including total (ICD-10 chapter level and some sub-chapter level), by Indigenous status.</w:t>
            </w:r>
          </w:p>
          <w:p>
            <w:pPr>
              <w:spacing w:after="160"/>
            </w:pPr>
            <w:r>
              <w:rPr>
                <w:rStyle w:val="row-content-rich-text"/>
              </w:rPr>
              <w:t xml:space="preserve"> </w:t>
            </w:r>
          </w:p>
          <w:p>
            <w:pPr>
              <w:spacing w:after="160"/>
            </w:pPr>
            <w:r>
              <w:rPr>
                <w:rStyle w:val="row-content-rich-text"/>
                <w:b/>
              </w:rPr>
              <w:t xml:space="preserve">Time series</w:t>
            </w:r>
            <w:r>
              <w:rPr>
                <w:rStyle w:val="row-content-rich-text"/>
              </w:rPr>
              <w:t xml:space="preserve"> - 2006 (to be provided for the 2012 CRC report to be used as the first year in the time series to align with the baseline year of 2006 for the Life expectancy target), 2007 and 2008 (revised using direct method of age-standardising and revised cause of deaths data), 2009 (current period for cause of death and  previous year for all-cause) and 2010 (current period for all-cause):</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leading causes of death including total (Top 5 ICD-10 chapter levels as listed under ‘definitions’), by Indigenous status.</w:t>
            </w:r>
          </w:p>
          <w:p>
            <w:pPr>
              <w:spacing w:after="160"/>
            </w:pPr>
            <w:r>
              <w:rPr>
                <w:rStyle w:val="row-content-rich-text"/>
              </w:rPr>
              <w:t xml:space="preserve">Measure (1b):</w:t>
            </w:r>
          </w:p>
          <w:p>
            <w:pPr>
              <w:spacing w:after="160"/>
            </w:pPr>
            <w:r>
              <w:rPr>
                <w:rStyle w:val="row-content-rich-text"/>
                <w:b/>
              </w:rPr>
              <w:t xml:space="preserve">Current period (2005-2009): </w:t>
            </w:r>
          </w:p>
          <w:p>
            <w:pPr/>
            <w:r>
              <w:rPr>
                <w:rStyle w:val="row-content-rich-text"/>
              </w:rPr>
              <w:t xml:space="preserve">For Indigenous only (number – observed, expected, excess; and per cent of excess deaths): National by sex, by leading cause of excess deaths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05f1b118d84a1e">
              <w:r>
                <w:rPr>
                  <w:rStyle w:val="Hyperlink"/>
                </w:rPr>
                <w:t xml:space="preserve">Person—sex, code N</w:t>
              </w:r>
            </w:hyperlink>
          </w:p>
          <w:p>
            <w:r>
              <w:rPr>
                <w:rStyle w:val="row-content"/>
                <w:b/>
              </w:rPr>
              <w:t xml:space="preserve">Data Source</w:t>
            </w:r>
          </w:p>
          <w:p>
            <w:hyperlink w:history="true" r:id="R3b203ea88708419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ae8dba6a3cc4f05">
              <w:r>
                <w:rPr>
                  <w:rStyle w:val="Hyperlink"/>
                </w:rPr>
                <w:t xml:space="preserve">Person—Indigenous status, code N</w:t>
              </w:r>
            </w:hyperlink>
          </w:p>
          <w:p>
            <w:r>
              <w:rPr>
                <w:rStyle w:val="row-content"/>
                <w:b/>
              </w:rPr>
              <w:t xml:space="preserve">Data Source</w:t>
            </w:r>
          </w:p>
          <w:p>
            <w:hyperlink w:history="true" r:id="Rcc4d3fbbe66b4c2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5df90bc0234824">
              <w:r>
                <w:rPr>
                  <w:rStyle w:val="Hyperlink"/>
                </w:rPr>
                <w:t xml:space="preserve">Person—underlying cause of death, code (ICD-10 2nd edn) ANN-ANN</w:t>
              </w:r>
            </w:hyperlink>
          </w:p>
          <w:p>
            <w:r>
              <w:rPr>
                <w:rStyle w:val="row-content"/>
                <w:b/>
              </w:rPr>
              <w:t xml:space="preserve">Data Source</w:t>
            </w:r>
          </w:p>
          <w:p>
            <w:hyperlink w:history="true" r:id="Rb1187d2d641a4db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f192d2f497b4e41">
              <w:r>
                <w:rPr>
                  <w:rStyle w:val="Hyperlink"/>
                </w:rPr>
                <w:t xml:space="preserve">Person—area of usual residence, geographical location code (ASGC 2008) NNNNN</w:t>
              </w:r>
            </w:hyperlink>
          </w:p>
          <w:p>
            <w:r>
              <w:rPr>
                <w:rStyle w:val="row-content"/>
                <w:b/>
              </w:rPr>
              <w:t xml:space="preserve">Data Source</w:t>
            </w:r>
          </w:p>
          <w:p>
            <w:hyperlink w:history="true" r:id="R979bd1dd6dd64f8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all-cause and 2009 by cause of death. Backcast data is also provided for 2006, 2007 and 2008.</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(2005-2009).</w:t>
            </w:r>
          </w:p>
          <w:p>
            <w:pPr>
              <w:spacing w:after="160"/>
            </w:pPr>
            <w:r>
              <w:rPr>
                <w:rStyle w:val="row-content-rich-text"/>
              </w:rPr>
              <w:t xml:space="preserve">Single year data will be used for time series (2006, 2007, 2008, 2009 and 2010 for all-cause and 2006, 2007, 2008 and 2009 for causes); noting that previously supplied data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f5142453914ba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5ab5cb356144c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571fe336cce4fc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c70a791d6684f46">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777e8dfb2e345e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0bf2aa8f81d49c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7c4878414824aa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d82b1ef3df34a8b">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bfe749f96846f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8e8c4f2d4d4eaf">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3ea5109c73e044c1">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da4b05d2ab242bc">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de7228cbd60248e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b6946ea68f94210">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9a074223b27e453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a2be48c22d5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ab7c71e21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be48c22d54b44" /><Relationship Type="http://schemas.openxmlformats.org/officeDocument/2006/relationships/header" Target="/word/header1.xml" Id="Rbddf01818c9a46b1" /><Relationship Type="http://schemas.openxmlformats.org/officeDocument/2006/relationships/settings" Target="/word/settings.xml" Id="Rcd6e3a667cc74bf5" /><Relationship Type="http://schemas.openxmlformats.org/officeDocument/2006/relationships/styles" Target="/word/styles.xml" Id="Ra7fd124cec6640f9" /><Relationship Type="http://schemas.openxmlformats.org/officeDocument/2006/relationships/hyperlink" Target="https://meteor.aihw.gov.au/RegistrationAuthority/6" TargetMode="External" Id="R276bddc329e94d08" /><Relationship Type="http://schemas.openxmlformats.org/officeDocument/2006/relationships/hyperlink" Target="https://meteor.aihw.gov.au/content/438475" TargetMode="External" Id="Rd0f7352021fd4ad7" /><Relationship Type="http://schemas.openxmlformats.org/officeDocument/2006/relationships/hyperlink" Target="https://meteor.aihw.gov.au/RegistrationAuthority/6" TargetMode="External" Id="R0d96c63ef17f4b20" /><Relationship Type="http://schemas.openxmlformats.org/officeDocument/2006/relationships/hyperlink" Target="https://meteor.aihw.gov.au/content/396115" TargetMode="External" Id="R6add5dd539c44efe" /><Relationship Type="http://schemas.openxmlformats.org/officeDocument/2006/relationships/hyperlink" Target="https://meteor.aihw.gov.au/RegistrationAuthority/6" TargetMode="External" Id="R4e41e54baee14f70" /><Relationship Type="http://schemas.openxmlformats.org/officeDocument/2006/relationships/hyperlink" Target="https://meteor.aihw.gov.au/content/480230" TargetMode="External" Id="R99bcef36ec4a4120" /><Relationship Type="http://schemas.openxmlformats.org/officeDocument/2006/relationships/hyperlink" Target="https://meteor.aihw.gov.au/RegistrationAuthority/6" TargetMode="External" Id="R8fc15dbf65284caf" /><Relationship Type="http://schemas.openxmlformats.org/officeDocument/2006/relationships/numbering" Target="/word/numbering.xml" Id="R33a4d990aa76421a" /><Relationship Type="http://schemas.openxmlformats.org/officeDocument/2006/relationships/hyperlink" Target="https://meteor.aihw.gov.au/content/454970" TargetMode="External" Id="R4d92fcdfb4744090" /><Relationship Type="http://schemas.openxmlformats.org/officeDocument/2006/relationships/image" Target="/media/image.jpg" Id="R4a58f7e7242c4b20" /><Relationship Type="http://schemas.openxmlformats.org/officeDocument/2006/relationships/hyperlink" Target="https://meteor.aihw.gov.au/content/454969" TargetMode="External" Id="Ree80f0dfcd5a429a" /><Relationship Type="http://schemas.openxmlformats.org/officeDocument/2006/relationships/image" Target="/media/image2.jpg" Id="Rde920817a81c4b75" /><Relationship Type="http://schemas.openxmlformats.org/officeDocument/2006/relationships/hyperlink" Target="https://meteor.aihw.gov.au/content/287007" TargetMode="External" Id="R5fec879f9abe4471" /><Relationship Type="http://schemas.openxmlformats.org/officeDocument/2006/relationships/hyperlink" Target="https://meteor.aihw.gov.au/content/394481" TargetMode="External" Id="Rdaa5d4ec020d4abe" /><Relationship Type="http://schemas.openxmlformats.org/officeDocument/2006/relationships/hyperlink" Target="https://meteor.aihw.gov.au/content/287007" TargetMode="External" Id="R42cae5256bf34797" /><Relationship Type="http://schemas.openxmlformats.org/officeDocument/2006/relationships/hyperlink" Target="https://meteor.aihw.gov.au/content/394490" TargetMode="External" Id="R6e2420f774a34487" /><Relationship Type="http://schemas.openxmlformats.org/officeDocument/2006/relationships/hyperlink" Target="https://meteor.aihw.gov.au/content/287305" TargetMode="External" Id="Rcaf7d506f9eb4a3e" /><Relationship Type="http://schemas.openxmlformats.org/officeDocument/2006/relationships/hyperlink" Target="https://meteor.aihw.gov.au/content/394481" TargetMode="External" Id="R089b40c18faa40f7" /><Relationship Type="http://schemas.openxmlformats.org/officeDocument/2006/relationships/hyperlink" Target="https://meteor.aihw.gov.au/content/287305" TargetMode="External" Id="R9a491eddc78644bd" /><Relationship Type="http://schemas.openxmlformats.org/officeDocument/2006/relationships/hyperlink" Target="https://meteor.aihw.gov.au/content/394490" TargetMode="External" Id="R98e2699aa29b4a15" /><Relationship Type="http://schemas.openxmlformats.org/officeDocument/2006/relationships/hyperlink" Target="https://meteor.aihw.gov.au/content/388656" TargetMode="External" Id="R952b8a456eaf42bf" /><Relationship Type="http://schemas.openxmlformats.org/officeDocument/2006/relationships/hyperlink" Target="https://meteor.aihw.gov.au/content/393625" TargetMode="External" Id="R3a37cfc43493415d" /><Relationship Type="http://schemas.openxmlformats.org/officeDocument/2006/relationships/hyperlink" Target="https://meteor.aihw.gov.au/content/388656" TargetMode="External" Id="R5eb80dd784de470b" /><Relationship Type="http://schemas.openxmlformats.org/officeDocument/2006/relationships/hyperlink" Target="https://meteor.aihw.gov.au/content/394092" TargetMode="External" Id="R8d346b753ee147db" /><Relationship Type="http://schemas.openxmlformats.org/officeDocument/2006/relationships/hyperlink" Target="https://meteor.aihw.gov.au/content/287316" TargetMode="External" Id="R2d05f1b118d84a1e" /><Relationship Type="http://schemas.openxmlformats.org/officeDocument/2006/relationships/hyperlink" Target="https://meteor.aihw.gov.au/content/394481" TargetMode="External" Id="R3b203ea887084198" /><Relationship Type="http://schemas.openxmlformats.org/officeDocument/2006/relationships/hyperlink" Target="https://meteor.aihw.gov.au/content/291036" TargetMode="External" Id="R4ae8dba6a3cc4f05" /><Relationship Type="http://schemas.openxmlformats.org/officeDocument/2006/relationships/hyperlink" Target="https://meteor.aihw.gov.au/content/394481" TargetMode="External" Id="Rcc4d3fbbe66b4c21" /><Relationship Type="http://schemas.openxmlformats.org/officeDocument/2006/relationships/hyperlink" Target="https://meteor.aihw.gov.au/content/307931" TargetMode="External" Id="R815df90bc0234824" /><Relationship Type="http://schemas.openxmlformats.org/officeDocument/2006/relationships/hyperlink" Target="https://meteor.aihw.gov.au/content/394490" TargetMode="External" Id="Rb1187d2d641a4db8" /><Relationship Type="http://schemas.openxmlformats.org/officeDocument/2006/relationships/hyperlink" Target="https://meteor.aihw.gov.au/content/377103" TargetMode="External" Id="Rdf192d2f497b4e41" /><Relationship Type="http://schemas.openxmlformats.org/officeDocument/2006/relationships/hyperlink" Target="https://meteor.aihw.gov.au/content/394481" TargetMode="External" Id="R979bd1dd6dd64f8d" /><Relationship Type="http://schemas.openxmlformats.org/officeDocument/2006/relationships/hyperlink" Target="https://meteor.aihw.gov.au/content/410671" TargetMode="External" Id="R34f5142453914ba2" /><Relationship Type="http://schemas.openxmlformats.org/officeDocument/2006/relationships/hyperlink" Target="https://meteor.aihw.gov.au/content/393625" TargetMode="External" Id="R395ab5cb356144c2" /><Relationship Type="http://schemas.openxmlformats.org/officeDocument/2006/relationships/hyperlink" Target="https://meteor.aihw.gov.au/content/449216" TargetMode="External" Id="R7571fe336cce4fc3" /><Relationship Type="http://schemas.openxmlformats.org/officeDocument/2006/relationships/hyperlink" Target="https://meteor.aihw.gov.au/content/394481" TargetMode="External" Id="R9c70a791d6684f46" /><Relationship Type="http://schemas.openxmlformats.org/officeDocument/2006/relationships/hyperlink" Target="https://meteor.aihw.gov.au/content/394092" TargetMode="External" Id="R5777e8dfb2e345ec" /><Relationship Type="http://schemas.openxmlformats.org/officeDocument/2006/relationships/hyperlink" Target="https://meteor.aihw.gov.au/content/449223" TargetMode="External" Id="R90bf2aa8f81d49cb" /><Relationship Type="http://schemas.openxmlformats.org/officeDocument/2006/relationships/hyperlink" Target="https://meteor.aihw.gov.au/content/394490" TargetMode="External" Id="R77c4878414824aac" /><Relationship Type="http://schemas.openxmlformats.org/officeDocument/2006/relationships/hyperlink" Target="https://meteor.aihw.gov.au/content/449206" TargetMode="External" Id="Rbd82b1ef3df34a8b" /><Relationship Type="http://schemas.openxmlformats.org/officeDocument/2006/relationships/hyperlink" Target="https://meteor.aihw.gov.au/content/410271" TargetMode="External" Id="Raabfe749f96846f5" /><Relationship Type="http://schemas.openxmlformats.org/officeDocument/2006/relationships/hyperlink" Target="https://meteor.aihw.gov.au/content/425739" TargetMode="External" Id="Ra38e8c4f2d4d4eaf" /><Relationship Type="http://schemas.openxmlformats.org/officeDocument/2006/relationships/hyperlink" Target="https://meteor.aihw.gov.au/RegistrationAuthority/6" TargetMode="External" Id="R3ea5109c73e044c1" /><Relationship Type="http://schemas.openxmlformats.org/officeDocument/2006/relationships/hyperlink" Target="https://meteor.aihw.gov.au/content/481149" TargetMode="External" Id="Rada4b05d2ab242bc" /><Relationship Type="http://schemas.openxmlformats.org/officeDocument/2006/relationships/hyperlink" Target="https://meteor.aihw.gov.au/RegistrationAuthority/6" TargetMode="External" Id="Rde7228cbd60248e5" /><Relationship Type="http://schemas.openxmlformats.org/officeDocument/2006/relationships/hyperlink" Target="https://meteor.aihw.gov.au/content/443713" TargetMode="External" Id="R2b6946ea68f94210" /><Relationship Type="http://schemas.openxmlformats.org/officeDocument/2006/relationships/hyperlink" Target="https://meteor.aihw.gov.au/RegistrationAuthority/12" TargetMode="External" Id="R9a074223b27e4531" /></Relationships>
</file>

<file path=word/_rels/header1.xml.rels>&#65279;<?xml version="1.0" encoding="utf-8"?><Relationships xmlns="http://schemas.openxmlformats.org/package/2006/relationships"><Relationship Type="http://schemas.openxmlformats.org/officeDocument/2006/relationships/image" Target="/media/image.png" Id="R2ccab7c71e21431b" /></Relationships>
</file>