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8d651336d9c4ae6"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14-Antenatal care,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14-Antenatal care,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14-Antenatal care,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438513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feeec0c29241c7">
              <w:r>
                <w:rPr>
                  <w:rStyle w:val="Hyperlink"/>
                  <w:color w:val="244061"/>
                </w:rPr>
                <w:t xml:space="preserve">Indigenous</w:t>
              </w:r>
            </w:hyperlink>
            <w:r>
              <w:rPr>
                <w:rStyle w:val="row-content"/>
                <w:color w:val="244061"/>
              </w:rPr>
              <w:t xml:space="preserve">, Superseded 13/06/2013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 both to be reported by Indigenous status:</w:t>
            </w:r>
          </w:p>
          <w:p>
            <w:pPr>
              <w:spacing w:after="160"/>
            </w:pPr>
            <w:r>
              <w:rPr>
                <w:rStyle w:val="row-content-rich-text"/>
              </w:rPr>
              <w:t xml:space="preserve">(1a): Number of women who gave birth, where an antenatal visit was reported in the first trimester, as a proportion of women who gave birth</w:t>
            </w:r>
          </w:p>
          <w:p>
            <w:pPr>
              <w:spacing w:after="160"/>
            </w:pPr>
            <w:r>
              <w:rPr>
                <w:rStyle w:val="row-content-rich-text"/>
              </w:rPr>
              <w:t xml:space="preserve">and</w:t>
            </w:r>
          </w:p>
          <w:p>
            <w:pPr/>
            <w:r>
              <w:rPr>
                <w:rStyle w:val="row-content-rich-text"/>
              </w:rPr>
              <w:t xml:space="preserve">(1b): Number of women who gave birth, where five or more antenatal visits were reported, as a proportion of women who gave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primary care needs of all Australians are met effectively through timely and quality care in the community.</w:t>
            </w:r>
          </w:p>
          <w:p>
            <w:pPr/>
            <w:r>
              <w:rPr>
                <w:rStyle w:val="row-content-rich-text"/>
              </w:rPr>
              <w:t xml:space="preserve">Good antenatal care is associated with positive health outcomes for mothers and babies.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b52520afe074125">
              <w:r>
                <w:rPr>
                  <w:rStyle w:val="Hyperlink"/>
                </w:rPr>
                <w:t xml:space="preserve">National Indigenous Reform Agreement (2012)</w:t>
              </w:r>
            </w:hyperlink>
          </w:p>
          <w:p>
            <w:pPr>
              <w:spacing w:before="0" w:after="0"/>
            </w:pPr>
            <w:r>
              <w:rPr>
                <w:rStyle w:val="row-content"/>
                <w:color w:val="244061"/>
              </w:rPr>
              <w:t xml:space="preserve">       </w:t>
            </w:r>
            <w:hyperlink w:history="true" r:id="R1ad23e90056a4562">
              <w:r>
                <w:rPr>
                  <w:rStyle w:val="Hyperlink"/>
                  <w:color w:val="244061"/>
                </w:rPr>
                <w:t xml:space="preserve">Indigenous</w:t>
              </w:r>
            </w:hyperlink>
            <w:r>
              <w:rPr>
                <w:rStyle w:val="row-content"/>
                <w:color w:val="244061"/>
              </w:rPr>
              <w:t xml:space="preserve">, Superseded 13/06/2013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3aa57aafd194521">
              <w:r>
                <w:rPr>
                  <w:rStyle w:val="Hyperlink"/>
                </w:rPr>
                <w:t xml:space="preserve">Indigenous children are born and remain healthy</w:t>
              </w:r>
            </w:hyperlink>
          </w:p>
          <w:p>
            <w:pPr>
              <w:spacing w:before="0" w:after="0"/>
            </w:pPr>
            <w:r>
              <w:rPr>
                <w:rStyle w:val="row-content"/>
                <w:color w:val="244061"/>
              </w:rPr>
              <w:t xml:space="preserve">       </w:t>
            </w:r>
            <w:hyperlink w:history="true" r:id="Rc04d1750efad481f">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d9a02416d0af4ccb">
              <w:r>
                <w:rPr>
                  <w:rStyle w:val="Hyperlink"/>
                </w:rPr>
                <w:t xml:space="preserve">National Indigenous Reform Agreement: PI 14-Antenatal care, 2012 QS</w:t>
              </w:r>
            </w:hyperlink>
          </w:p>
          <w:p>
            <w:pPr>
              <w:spacing w:before="0" w:after="0"/>
            </w:pPr>
            <w:r>
              <w:rPr>
                <w:rStyle w:val="row-content"/>
                <w:color w:val="244061"/>
              </w:rPr>
              <w:t xml:space="preserve">       </w:t>
            </w:r>
            <w:hyperlink w:history="true" r:id="R7a2164475d41495f">
              <w:r>
                <w:rPr>
                  <w:rStyle w:val="Hyperlink"/>
                  <w:color w:val="244061"/>
                </w:rPr>
                <w:t xml:space="preserve">Indigenous</w:t>
              </w:r>
            </w:hyperlink>
            <w:r>
              <w:rPr>
                <w:rStyle w:val="row-content"/>
                <w:color w:val="244061"/>
              </w:rPr>
              <w:t xml:space="preserve">, Superseded 13/06/2013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Rate ratios and rate differences are calculated for Indigenous: non-Indigenous.</w:t>
            </w:r>
          </w:p>
          <w:p>
            <w:pPr>
              <w:spacing w:after="160"/>
            </w:pPr>
            <w:r>
              <w:rPr>
                <w:rStyle w:val="row-content-rich-text"/>
              </w:rPr>
              <w:t xml:space="preserve">For variability bands: More work is to be undertaken by the AIHW regarding the use of variability bands for perinatal data for COAG reporting.</w:t>
            </w:r>
          </w:p>
          <w:p>
            <w:pPr>
              <w:spacing w:after="160"/>
            </w:pPr>
            <w:r>
              <w:rPr>
                <w:rStyle w:val="row-content-rich-text"/>
              </w:rPr>
              <w:t xml:space="preserve">For trends: percentage change and statistical significance of change is to be calculated (required for CRC reporting).</w:t>
            </w:r>
          </w:p>
          <w:p>
            <w:pPr>
              <w:spacing w:after="160"/>
            </w:pPr>
            <w:r>
              <w:rPr>
                <w:rStyle w:val="row-content-rich-text"/>
                <w:u w:val="single"/>
              </w:rPr>
              <w:t xml:space="preserve">Presentation</w:t>
            </w:r>
            <w:r>
              <w:rPr>
                <w:rStyle w:val="row-content-rich-text"/>
              </w:rPr>
              <w:t xml:space="preserve">:</w:t>
            </w:r>
          </w:p>
          <w:p>
            <w:pPr>
              <w:spacing w:after="160"/>
            </w:pPr>
            <w:r>
              <w:rPr>
                <w:rStyle w:val="row-content-rich-text"/>
              </w:rPr>
              <w:t xml:space="preserve">Number, rate per 100 (percentage), rate ratios, and rate differences.</w:t>
            </w:r>
          </w:p>
          <w:p>
            <w:pPr>
              <w:spacing w:after="160"/>
            </w:pPr>
            <w:r>
              <w:rPr>
                <w:rStyle w:val="row-content-rich-text"/>
              </w:rPr>
              <w:t xml:space="preserve">First trimester is defined as before 14 weeks of pregnancy.</w:t>
            </w:r>
          </w:p>
          <w:p>
            <w:pPr>
              <w:spacing w:after="160"/>
            </w:pPr>
            <w:r>
              <w:rPr>
                <w:rStyle w:val="row-content-rich-text"/>
              </w:rPr>
              <w:t xml:space="preserve">Excludes multiple births, still births and births with unknown birthweight.</w:t>
            </w:r>
          </w:p>
          <w:p>
            <w:pPr>
              <w:spacing w:after="160"/>
            </w:pPr>
            <w:r>
              <w:rPr>
                <w:rStyle w:val="row-content-rich-text"/>
              </w:rPr>
              <w:t xml:space="preserve">Excludes Australian non-residents of external territories and where the state/territory of residence was not stated.</w:t>
            </w:r>
          </w:p>
          <w:p>
            <w:pPr/>
            <w:r>
              <w:rPr>
                <w:rStyle w:val="row-content-rich-text"/>
              </w:rPr>
              <w:t xml:space="preserve">Excludes records with missing data for gestation at first antenatal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Crude rate</w:t>
            </w:r>
            <w:r>
              <w:rPr>
                <w:rStyle w:val="row-content-rich-text"/>
              </w:rPr>
              <w:t xml:space="preserve">: 100 x (Numerator ÷ Denominator).</w:t>
            </w:r>
          </w:p>
          <w:p>
            <w:pPr>
              <w:spacing w:after="160"/>
            </w:pPr>
            <w:r>
              <w:rPr>
                <w:rStyle w:val="row-content-rich-text"/>
                <w:u w:val="single"/>
              </w:rPr>
              <w:t xml:space="preserve">Age-standardised rate</w:t>
            </w:r>
            <w:r>
              <w:rPr>
                <w:rStyle w:val="row-content-rich-text"/>
              </w:rPr>
              <w:t xml:space="preserve">: calculated using the direct method, using five year age groups from 15-19 to 40-44 using the Australian female population who gave birth in the current reporting period as the standard. Age-standardisation should be done in accordance with the NIRAPIMG agreed principles for direct age-standardisation (see Comments section. Note that Principle 1 is not applicable for this indicator).</w:t>
            </w:r>
          </w:p>
          <w:p>
            <w:pPr>
              <w:spacing w:after="160"/>
            </w:pPr>
            <w:r>
              <w:rPr>
                <w:rStyle w:val="row-content-rich-text"/>
                <w:u w:val="single"/>
              </w:rPr>
              <w:t xml:space="preserve">Rate ratio</w:t>
            </w:r>
            <w:r>
              <w:rPr>
                <w:rStyle w:val="row-content-rich-text"/>
              </w:rPr>
              <w:t xml:space="preserve">: Indigenous rate divided by non-Indigenous rate.</w:t>
            </w:r>
          </w:p>
          <w:p>
            <w:pPr>
              <w:spacing w:after="160"/>
            </w:pPr>
            <w:r>
              <w:rPr>
                <w:rStyle w:val="row-content-rich-text"/>
                <w:u w:val="single"/>
              </w:rPr>
              <w:t xml:space="preserve">Rate difference</w:t>
            </w:r>
            <w:r>
              <w:rPr>
                <w:rStyle w:val="row-content-rich-text"/>
              </w:rPr>
              <w:t xml:space="preserve">: Indigenous rate minus non-Indigenous rate.</w:t>
            </w:r>
          </w:p>
          <w:p>
            <w:pPr>
              <w:spacing w:after="160"/>
            </w:pPr>
            <w:r>
              <w:rPr>
                <w:rStyle w:val="row-content-rich-text"/>
                <w:u w:val="single"/>
              </w:rPr>
              <w:t xml:space="preserve">Percentage change</w:t>
            </w:r>
            <w:r>
              <w:rPr>
                <w:rStyle w:val="row-content-rich-text"/>
              </w:rPr>
              <w:t xml:space="preserve">: 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or ‘slope’ estimate was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r>
              <w:rPr>
                <w:rStyle w:val="row-content-rich-text"/>
                <w:u w:val="single"/>
              </w:rPr>
              <w:t xml:space="preserve">Statistical significance of change</w:t>
            </w:r>
            <w:r>
              <w:rPr>
                <w:rStyle w:val="row-content-rich-text"/>
              </w:rPr>
              <w:t xml:space="preserve">:  More work to be undertaken by the AIHW regarding the use and methodology for statistical significance of change for perinatal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Measure (1a)</w:t>
            </w:r>
            <w:r>
              <w:rPr>
                <w:rStyle w:val="row-content-rich-text"/>
              </w:rPr>
              <w:t xml:space="preserve">: number of women who gave birth where an antenatal visit was reported in the first trimester (up to and including 13 completed weeks), for at least one live or stillborn baby.</w:t>
            </w:r>
          </w:p>
          <w:p>
            <w:pPr/>
            <w:r>
              <w:rPr>
                <w:rStyle w:val="row-content-rich-text"/>
                <w:u w:val="single"/>
              </w:rPr>
              <w:t xml:space="preserve">Measure (1b):</w:t>
            </w:r>
            <w:r>
              <w:rPr>
                <w:rStyle w:val="row-content-rich-text"/>
              </w:rPr>
              <w:t xml:space="preserve"> number of women who gave birth where five or more antenatal visits were reported for pregnancy of 32 or more weeks gestation, for at least one live or stillborn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Number of antenatal visits</w:t>
            </w:r>
          </w:p>
          <w:p>
            <w:r>
              <w:rPr>
                <w:rStyle w:val="row-content"/>
                <w:b/>
              </w:rPr>
              <w:t xml:space="preserve">Data Source</w:t>
            </w:r>
          </w:p>
          <w:p>
            <w:hyperlink w:history="true" r:id="R4c22abeff32c4358">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5468bcf2ec0a4c42">
              <w:r>
                <w:rPr>
                  <w:rStyle w:val="Hyperlink"/>
                </w:rPr>
                <w:t xml:space="preserve">Female (pregnant)—estimated gestational age, total weeks NN</w:t>
              </w:r>
            </w:hyperlink>
          </w:p>
          <w:p>
            <w:r>
              <w:rPr>
                <w:rStyle w:val="row-content"/>
                <w:b/>
              </w:rPr>
              <w:t xml:space="preserve">Data Source</w:t>
            </w:r>
          </w:p>
          <w:p>
            <w:hyperlink w:history="true" r:id="Rd92b22d763dc43d8">
              <w:r>
                <w:rPr>
                  <w:rStyle w:val="Hyperlink"/>
                </w:rPr>
                <w:t xml:space="preserve">AIHW National Perinatal Data Collection (NPDC)</w:t>
              </w:r>
            </w:hyperlink>
          </w:p>
          <w:p>
            <w:r>
              <w:rPr>
                <w:rStyle w:val="row-content"/>
                <w:b/>
              </w:rPr>
              <w:t xml:space="preserve">NMDS / DSS</w:t>
            </w:r>
          </w:p>
          <w:p>
            <w:hyperlink w:history="true" r:id="R5bdfffa6c2f44116">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ef9a1b53127b4ec3">
              <w:r>
                <w:rPr>
                  <w:rStyle w:val="Hyperlink"/>
                </w:rPr>
                <w:t xml:space="preserve">Pregnancy—estimated duration (at the first visit for antenatal care), completed weeks N[N]</w:t>
              </w:r>
            </w:hyperlink>
          </w:p>
          <w:p>
            <w:r>
              <w:rPr>
                <w:rStyle w:val="row-content"/>
                <w:b/>
              </w:rPr>
              <w:t xml:space="preserve">Data Source</w:t>
            </w:r>
          </w:p>
          <w:p>
            <w:hyperlink w:history="true" r:id="R0d375584143b4d7f">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Measure (1a):</w:t>
            </w:r>
            <w:r>
              <w:rPr>
                <w:rStyle w:val="row-content-rich-text"/>
              </w:rPr>
              <w:t xml:space="preserve"> total number of women who gave birth, for at least one live or stillborn baby (where gestation at first antenatal visit is known).</w:t>
            </w:r>
          </w:p>
          <w:p>
            <w:pPr/>
            <w:r>
              <w:rPr>
                <w:rStyle w:val="row-content-rich-text"/>
                <w:u w:val="single"/>
              </w:rPr>
              <w:t xml:space="preserve">Measure (1b):</w:t>
            </w:r>
            <w:r>
              <w:rPr>
                <w:rStyle w:val="row-content-rich-text"/>
              </w:rPr>
              <w:t xml:space="preserve"> total number of women who gave birth at 32 weeks or more gestation, for at least one live or stillborn baby (where number of antenatal visits is 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Number of antenatal visits</w:t>
            </w:r>
          </w:p>
          <w:p>
            <w:r>
              <w:rPr>
                <w:rStyle w:val="row-content"/>
                <w:b/>
              </w:rPr>
              <w:t xml:space="preserve">Data Source</w:t>
            </w:r>
          </w:p>
          <w:p>
            <w:hyperlink w:history="true" r:id="Ra831d437c8804828">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cb133427b84d4be8">
              <w:r>
                <w:rPr>
                  <w:rStyle w:val="Hyperlink"/>
                </w:rPr>
                <w:t xml:space="preserve">Female (pregnant)—estimated gestational age, total weeks NN</w:t>
              </w:r>
            </w:hyperlink>
          </w:p>
          <w:p>
            <w:r>
              <w:rPr>
                <w:rStyle w:val="row-content"/>
                <w:b/>
              </w:rPr>
              <w:t xml:space="preserve">Data Source</w:t>
            </w:r>
          </w:p>
          <w:p>
            <w:hyperlink w:history="true" r:id="R3d545a1dec764fdd">
              <w:r>
                <w:rPr>
                  <w:rStyle w:val="Hyperlink"/>
                </w:rPr>
                <w:t xml:space="preserve">AIHW National Perinatal Data Collection (NPDC)</w:t>
              </w:r>
            </w:hyperlink>
          </w:p>
          <w:p>
            <w:r>
              <w:rPr>
                <w:rStyle w:val="row-content"/>
                <w:b/>
              </w:rPr>
              <w:t xml:space="preserve">NMDS / DSS</w:t>
            </w:r>
          </w:p>
          <w:p>
            <w:hyperlink w:history="true" r:id="R2611b27e767645e1">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da00e89f3fe54813">
              <w:r>
                <w:rPr>
                  <w:rStyle w:val="Hyperlink"/>
                </w:rPr>
                <w:t xml:space="preserve">Pregnancy—estimated duration (at the first visit for antenatal care), completed weeks N[N]</w:t>
              </w:r>
            </w:hyperlink>
          </w:p>
          <w:p>
            <w:r>
              <w:rPr>
                <w:rStyle w:val="row-content"/>
                <w:b/>
              </w:rPr>
              <w:t xml:space="preserve">Data Source</w:t>
            </w:r>
          </w:p>
          <w:p>
            <w:hyperlink w:history="true" r:id="R7219d500ce6e48f4">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Current Period</w:t>
            </w:r>
            <w:r>
              <w:rPr>
                <w:rStyle w:val="row-content-rich-text"/>
              </w:rPr>
              <w:t xml:space="preserve"> (2009):</w:t>
            </w:r>
          </w:p>
          <w:p>
            <w:pPr>
              <w:spacing w:after="160"/>
            </w:pPr>
            <w:r>
              <w:rPr>
                <w:rStyle w:val="row-content-rich-text"/>
              </w:rPr>
              <w:t xml:space="preserve">For Indigenous only (numbers and crude rates):</w:t>
            </w:r>
          </w:p>
          <w:p>
            <w:pPr>
              <w:pStyle w:val="ListParagraph"/>
              <w:numPr>
                <w:ilvl w:val="0"/>
                <w:numId w:val="2"/>
              </w:numPr>
            </w:pPr>
            <w:r>
              <w:rPr>
                <w:rStyle w:val="row-content-rich-text"/>
              </w:rPr>
              <w:t xml:space="preserve">National and state/territory.</w:t>
            </w:r>
          </w:p>
          <w:p>
            <w:pPr>
              <w:spacing w:after="160"/>
            </w:pPr>
            <w:r>
              <w:rPr>
                <w:rStyle w:val="row-content-rich-text"/>
                <w:b/>
              </w:rPr>
              <w:t xml:space="preserve">Time series</w:t>
            </w:r>
            <w:r>
              <w:rPr>
                <w:rStyle w:val="row-content-rich-text"/>
              </w:rPr>
              <w:t xml:space="preserve"> –2007 (revised Tables 14.3, 14.4 in 2008-09 NIRA report to correct coding error in previously supplied tables); 2008 (revised Tables 14.2, 14.3, 14.4 in 2009-10 NIRA report to correct coding error in previously supplied tables); 2009 (required for 2012 reporting):</w:t>
            </w:r>
          </w:p>
          <w:p>
            <w:pPr>
              <w:spacing w:after="160"/>
            </w:pPr>
            <w:r>
              <w:rPr>
                <w:rStyle w:val="row-content-rich-text"/>
              </w:rPr>
              <w:t xml:space="preserve">For Indigenous and non-Indigenous (numbers, age-standardised rates, rate ratio, rate difference, and percentage change. Variability bands and statistical significance of change to be advised by AIHW):</w:t>
            </w:r>
          </w:p>
          <w:p>
            <w:pPr/>
            <w:r>
              <w:rPr>
                <w:rStyle w:val="row-content-rich-text"/>
              </w:rPr>
              <w:t xml:space="preserve">National and state/territory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b4dfabfa2434628">
              <w:r>
                <w:rPr>
                  <w:rStyle w:val="Hyperlink"/>
                </w:rPr>
                <w:t xml:space="preserve">Person—Indigenous status, code N</w:t>
              </w:r>
            </w:hyperlink>
          </w:p>
          <w:p>
            <w:r>
              <w:rPr>
                <w:rStyle w:val="row-content"/>
                <w:b/>
              </w:rPr>
              <w:t xml:space="preserve">Data Source</w:t>
            </w:r>
          </w:p>
          <w:p>
            <w:hyperlink w:history="true" r:id="Rcc19f5982372490c">
              <w:r>
                <w:rPr>
                  <w:rStyle w:val="Hyperlink"/>
                </w:rPr>
                <w:t xml:space="preserve">AIHW National Perinatal Data Collection (NPDC)</w:t>
              </w:r>
            </w:hyperlink>
          </w:p>
          <w:p>
            <w:r>
              <w:rPr>
                <w:rStyle w:val="row-content"/>
                <w:b/>
              </w:rPr>
              <w:t xml:space="preserve">NMDS / DSS</w:t>
            </w:r>
          </w:p>
          <w:p>
            <w:hyperlink w:history="true" r:id="Rc67b410273b64032">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a0ef4ef81bbb47d4">
              <w:r>
                <w:rPr>
                  <w:rStyle w:val="Hyperlink"/>
                </w:rPr>
                <w:t xml:space="preserve">Person—area of usual residence, geographical location code (ASGC 2008) NNNNN</w:t>
              </w:r>
            </w:hyperlink>
          </w:p>
          <w:p>
            <w:r>
              <w:rPr>
                <w:rStyle w:val="row-content"/>
                <w:b/>
              </w:rPr>
              <w:t xml:space="preserve">Data Source</w:t>
            </w:r>
          </w:p>
          <w:p>
            <w:hyperlink w:history="true" r:id="R837c19cb25ad428f">
              <w:r>
                <w:rPr>
                  <w:rStyle w:val="Hyperlink"/>
                </w:rPr>
                <w:t xml:space="preserve">AIHW National Perinatal Data Collection (NPDC)</w:t>
              </w:r>
            </w:hyperlink>
          </w:p>
          <w:p>
            <w:r>
              <w:rPr>
                <w:rStyle w:val="row-content"/>
                <w:b/>
              </w:rPr>
              <w:t xml:space="preserve">NMDS / DSS</w:t>
            </w:r>
          </w:p>
          <w:p>
            <w:hyperlink w:history="true" r:id="R9160da80e4744d81">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is 2009.</w:t>
            </w:r>
          </w:p>
          <w:p>
            <w:pPr>
              <w:spacing w:after="160"/>
            </w:pPr>
            <w:r>
              <w:rPr>
                <w:rStyle w:val="row-content-rich-text"/>
              </w:rPr>
              <w:t xml:space="preserve">There are currently no data elements in the Perinatal National Minimum Data Set for antenatal care, however some information is obtained as part of the National Perinatal Data Collection (NPDC).</w:t>
            </w:r>
          </w:p>
          <w:p>
            <w:pPr>
              <w:spacing w:after="160"/>
            </w:pPr>
            <w:r>
              <w:rPr>
                <w:rStyle w:val="row-content-rich-text"/>
              </w:rPr>
              <w:t xml:space="preserve">Information is included in the NPDC for all live births and still births of at least 400 grams birthweight or at least 20 weeks gestation.</w:t>
            </w:r>
          </w:p>
          <w:p>
            <w:pPr>
              <w:spacing w:after="160"/>
            </w:pPr>
            <w:r>
              <w:rPr>
                <w:rStyle w:val="row-content-rich-text"/>
              </w:rPr>
              <w:t xml:space="preserve">Data on gestation at first visit (1a) are only available to report for NSW, SA, NT; and data on number of antenatal visits (1b) are only available to report for Qld, SA &amp; NT for 2012 reporting.</w:t>
            </w:r>
          </w:p>
          <w:p>
            <w:pPr>
              <w:spacing w:after="160"/>
            </w:pPr>
            <w:r>
              <w:rPr>
                <w:rStyle w:val="row-content-rich-text"/>
              </w:rPr>
              <w:t xml:space="preserve">Analysis by state/territory is based on usual residence of the mother.</w:t>
            </w:r>
          </w:p>
          <w:p>
            <w:pPr>
              <w:spacing w:after="160"/>
            </w:pPr>
            <w:r>
              <w:rPr>
                <w:rStyle w:val="row-content-rich-text"/>
              </w:rPr>
              <w:t xml:space="preserve">Comparability between data currently collected may be limited by different definitions of first antenatal visit.</w:t>
            </w:r>
          </w:p>
          <w:p>
            <w:pPr>
              <w:spacing w:after="160"/>
            </w:pPr>
            <w:r>
              <w:rPr>
                <w:rStyle w:val="row-content-rich-text"/>
              </w:rPr>
              <w:t xml:space="preserve">Maternal age is the age at the time of giving birth.</w:t>
            </w:r>
          </w:p>
          <w:p>
            <w:pPr>
              <w:spacing w:after="160"/>
            </w:pPr>
            <w:r>
              <w:rPr>
                <w:rStyle w:val="row-content-rich-text"/>
              </w:rPr>
              <w:t xml:space="preserve">To report trends, the COAG Reform Council will separately request percentage change and statistical significance testing for this indicator directly from the data provider (AIHW).</w:t>
            </w:r>
          </w:p>
          <w:p>
            <w:pPr>
              <w:spacing w:after="160"/>
            </w:pPr>
            <w:r>
              <w:rPr>
                <w:rStyle w:val="row-content-rich-text"/>
              </w:rPr>
              <w:t xml:space="preserve">More work is to be undertaken by the AIHW regarding the use of variability bands for perinatal data for COAG reporting.</w:t>
            </w:r>
          </w:p>
          <w:p>
            <w:pPr>
              <w:spacing w:after="160"/>
            </w:pPr>
            <w:r>
              <w:rPr>
                <w:rStyle w:val="row-content-rich-text"/>
              </w:rPr>
              <w:t xml:space="preserve">Baseline year for NIRA target (Halve the child mortality gap within a decade) is 2008; baseline year for this indicator is 2008; target year is 2018.</w:t>
            </w:r>
          </w:p>
          <w:p>
            <w:pPr>
              <w:spacing w:after="160"/>
            </w:pPr>
            <w:r>
              <w:rPr>
                <w:rStyle w:val="row-content-rich-text"/>
                <w:b/>
              </w:rPr>
              <w:t xml:space="preserve">NIRAPIMG agreed Principles for reporting directly age-standardised rates for administrative data</w:t>
            </w:r>
          </w:p>
          <w:p>
            <w:pPr>
              <w:spacing w:after="160"/>
            </w:pPr>
            <w:r>
              <w:rPr>
                <w:rStyle w:val="row-content-rich-text"/>
                <w:b/>
              </w:rPr>
              <w:t xml:space="preserve">Overarching principle</w:t>
            </w:r>
            <w:r>
              <w:rPr>
                <w:rStyle w:val="row-content-rich-text"/>
              </w:rPr>
              <w:t xml:space="preserve">: Before undertaking age-standardisation, analysts must investigate the data being used to understand the age-specific distribution and any limitations that may impact on the results.</w:t>
            </w:r>
          </w:p>
          <w:p>
            <w:pPr>
              <w:spacing w:after="160"/>
            </w:pPr>
            <w:r>
              <w:rPr>
                <w:rStyle w:val="row-content-rich-text"/>
                <w:b/>
              </w:rPr>
              <w:t xml:space="preserve">Principle 1:</w:t>
            </w:r>
            <w:r>
              <w:rPr>
                <w:rStyle w:val="row-content-rich-text"/>
              </w:rPr>
              <w:t xml:space="preserve"> The standard population used should be the Australian Estimated Resident Population as at 30 June 2001 from the 2001 Census until population estimates from the 2011 Census become available.</w:t>
            </w:r>
          </w:p>
          <w:p>
            <w:pPr>
              <w:spacing w:after="160"/>
            </w:pPr>
            <w:r>
              <w:rPr>
                <w:rStyle w:val="row-content-rich-text"/>
              </w:rPr>
              <w:t xml:space="preserve">The population used as the denominator for the calculation of Indigenous age-standardised rates should be SERIES B of Indigenous experimental estimates and projections 2006 to 2021 based on the 2006 Census until population estimates from the 2011 Census become available.</w:t>
            </w:r>
          </w:p>
          <w:p>
            <w:pPr>
              <w:spacing w:after="160"/>
            </w:pPr>
            <w:r>
              <w:rPr>
                <w:rStyle w:val="row-content-rich-text"/>
                <w:b/>
              </w:rPr>
              <w:t xml:space="preserve">Principle 2:</w:t>
            </w:r>
            <w:r>
              <w:rPr>
                <w:rStyle w:val="row-content-rich-text"/>
              </w:rPr>
              <w:t xml:space="preserve"> If the denominator is less than 30 in any one age group, then do not attempt to produce age-standardised rates.</w:t>
            </w:r>
          </w:p>
          <w:p>
            <w:pPr>
              <w:spacing w:after="160"/>
            </w:pPr>
            <w:r>
              <w:rPr>
                <w:rStyle w:val="row-content-rich-text"/>
              </w:rPr>
              <w:t xml:space="preserve">Age-groups may be collapsed to obtain a denominator of 30 or more (provided that this is in accordance with principle 3 and 4).</w:t>
            </w:r>
          </w:p>
          <w:p>
            <w:pPr>
              <w:spacing w:after="160"/>
            </w:pPr>
            <w:r>
              <w:rPr>
                <w:rStyle w:val="row-content-rich-text"/>
                <w:b/>
              </w:rPr>
              <w:t xml:space="preserve">Principle 3:</w:t>
            </w:r>
            <w:r>
              <w:rPr>
                <w:rStyle w:val="row-content-rich-text"/>
              </w:rPr>
              <w:t xml:space="preserve"> If the total number of Indigenous events (eg deaths, hospital separations) is less than 20, then do not attempt to produce age-standardised rates.</w:t>
            </w:r>
          </w:p>
          <w:p>
            <w:pPr>
              <w:spacing w:after="160"/>
            </w:pPr>
            <w:r>
              <w:rPr>
                <w:rStyle w:val="row-content-rich-text"/>
              </w:rPr>
              <w:t xml:space="preserve">Combining several years of data, or aggregating jurisdictions should be considered to obtain a total of 20 or more events.</w:t>
            </w:r>
          </w:p>
          <w:p>
            <w:pPr>
              <w:spacing w:after="160"/>
            </w:pPr>
            <w:r>
              <w:rPr>
                <w:rStyle w:val="row-content-rich-text"/>
              </w:rPr>
              <w:t xml:space="preserve">If this does not meet the purpose (i.e. data are required for time series or jurisdictional comparisons), or does not result in greater than 20 events in total, then other measures and contextual information should be reported instead of age-standardised rates which could include total number of events, crude rates, age-specific rates, age-specific rate ratios and median age at death.</w:t>
            </w:r>
          </w:p>
          <w:p>
            <w:pPr>
              <w:spacing w:after="160"/>
            </w:pPr>
            <w:r>
              <w:rPr>
                <w:rStyle w:val="row-content-rich-text"/>
                <w:b/>
              </w:rPr>
              <w:t xml:space="preserve">Principle 4:</w:t>
            </w:r>
            <w:r>
              <w:rPr>
                <w:rStyle w:val="row-content-rich-text"/>
              </w:rPr>
              <w:t xml:space="preserve"> Age-standardised rates should be calculated using the five year age groupings of 0-4 to 75+ (provided Principles 2 and 3 for denominator and numerator are met).</w:t>
            </w:r>
          </w:p>
          <w:p>
            <w:pPr>
              <w:spacing w:after="160"/>
            </w:pPr>
            <w:r>
              <w:rPr>
                <w:rStyle w:val="row-content-rich-text"/>
              </w:rPr>
              <w:t xml:space="preserve">10-year age groups may be used to overcome small numbers (20 year age groups are too wide and should not be used).</w:t>
            </w:r>
          </w:p>
          <w:p>
            <w:pPr>
              <w:spacing w:after="160"/>
            </w:pPr>
            <w:r>
              <w:rPr>
                <w:rStyle w:val="row-content-rich-text"/>
                <w:b/>
              </w:rPr>
              <w:t xml:space="preserve">Principle 5:</w:t>
            </w:r>
            <w:r>
              <w:rPr>
                <w:rStyle w:val="row-content-rich-text"/>
              </w:rPr>
              <w:t xml:space="preserve"> Additional contextual information (most importantly age-specific rates and ratios) should be provided in addition to age-standardised rates when:</w:t>
            </w:r>
          </w:p>
          <w:p>
            <w:pPr>
              <w:spacing w:after="160"/>
            </w:pPr>
            <w:r>
              <w:rPr>
                <w:rStyle w:val="row-content-rich-text"/>
              </w:rPr>
              <w:t xml:space="preserve">a) the age-standardised rates and rate ratios lie largely outside the range of the age-specific rates and rate ratios.</w:t>
            </w:r>
          </w:p>
          <w:p>
            <w:pPr>
              <w:spacing w:after="160"/>
            </w:pPr>
            <w:r>
              <w:rPr>
                <w:rStyle w:val="row-content-rich-text"/>
              </w:rPr>
              <w:t xml:space="preserve">b) the pattern of age-specific rates of the Indigenous and non-Indigenous populations differ substantially (e.g. deaths from a certain cause concentrate on younger ages for Indigenous population while for non-Indigenous they may occur at older ages).</w:t>
            </w:r>
          </w:p>
          <w:p>
            <w:pPr>
              <w:spacing w:after="160"/>
            </w:pPr>
            <w:r>
              <w:rPr>
                <w:rStyle w:val="row-content-rich-text"/>
              </w:rPr>
              <w:t xml:space="preserve">c) the age-specific rates depart from the assumption of a uniform increase in death with age (e.g. injury which peaks in the young adult to middle-ages and certain cancers amenable to treatment for some age groups).</w:t>
            </w:r>
          </w:p>
          <w:p>
            <w:pPr>
              <w:spacing w:after="160"/>
            </w:pPr>
            <w:r>
              <w:rPr>
                <w:rStyle w:val="row-content-rich-text"/>
              </w:rPr>
              <w:t xml:space="preserve">d) the condition of interest is largely confined to a specific age range  (e.g. STIs and women who give birth). In such instances, age-standardisation could be restricted to include the age groups within this age range only.</w:t>
            </w:r>
          </w:p>
          <w:p>
            <w:pPr/>
            <w:r>
              <w:rPr>
                <w:rStyle w:val="row-content-rich-text"/>
                <w:b/>
              </w:rPr>
              <w:t xml:space="preserve">Principle 6:</w:t>
            </w:r>
            <w:r>
              <w:rPr>
                <w:rStyle w:val="row-content-rich-text"/>
              </w:rPr>
              <w:t xml:space="preserve"> For conditions restricted to a specific age group (e.g. conditions originating in the perinatal period and SIDS), it is recommended to report the age-specific rate for the age-group of interest instead of the age-standardised rate.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09b2555b58c44b1">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22085cfa68a46c6">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 pending the development and implementation of standard data definitions.</w:t>
            </w:r>
          </w:p>
          <w:p>
            <w:pPr>
              <w:spacing w:after="160"/>
            </w:pPr>
            <w:r>
              <w:rPr>
                <w:rStyle w:val="row-content-rich-text"/>
              </w:rPr>
              <w:t xml:space="preserve">A standard data item for gestation at first presentation for antenatal care has been developed and will be included in the perinatal NMDS from July 1 2010 onwards.</w:t>
            </w:r>
          </w:p>
          <w:p>
            <w:pPr/>
            <w:r>
              <w:rPr>
                <w:rStyle w:val="row-content-rich-text"/>
              </w:rPr>
              <w:t xml:space="preserve">Standard data items for number of antenatal visits are currently being developed for inclusion in the perinatal NMDS in the near future.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c39e9f8230d46ef">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d1106e2e77d44ba">
              <w:r>
                <w:rPr>
                  <w:rStyle w:val="Hyperlink"/>
                </w:rPr>
                <w:t xml:space="preserve">National Indigenous Reform Agreement: PI 14-Antenatal care, 2011</w:t>
              </w:r>
            </w:hyperlink>
          </w:p>
          <w:p>
            <w:pPr>
              <w:spacing w:before="0" w:after="0"/>
            </w:pPr>
            <w:r>
              <w:rPr>
                <w:rStyle w:val="row-content"/>
                <w:color w:val="244061"/>
              </w:rPr>
              <w:t xml:space="preserve">       </w:t>
            </w:r>
            <w:hyperlink w:history="true" r:id="R2b97070fe79c4589">
              <w:r>
                <w:rPr>
                  <w:rStyle w:val="Hyperlink"/>
                  <w:color w:val="244061"/>
                </w:rPr>
                <w:t xml:space="preserve">Health</w:t>
              </w:r>
            </w:hyperlink>
            <w:r>
              <w:rPr>
                <w:rStyle w:val="row-content"/>
                <w:color w:val="244061"/>
              </w:rPr>
              <w:t xml:space="preserve">, Superseded 31/10/2011</w:t>
            </w:r>
          </w:p>
          <w:p>
            <w:pPr>
              <w:spacing w:before="0" w:after="0"/>
            </w:pPr>
            <w:r>
              <w:rPr>
                <w:rStyle w:val="row-content"/>
                <w:color w:val="244061"/>
              </w:rPr>
              <w:t xml:space="preserve">       </w:t>
            </w:r>
            <w:hyperlink w:history="true" r:id="R459f4a01dff545b5">
              <w:r>
                <w:rPr>
                  <w:rStyle w:val="Hyperlink"/>
                  <w:color w:val="244061"/>
                </w:rPr>
                <w:t xml:space="preserve">Indigenous</w:t>
              </w:r>
            </w:hyperlink>
            <w:r>
              <w:rPr>
                <w:rStyle w:val="row-content"/>
                <w:color w:val="244061"/>
              </w:rPr>
              <w:t xml:space="preserve">, Superseded 01/07/2012</w:t>
            </w:r>
          </w:p>
          <w:p>
            <w:r>
              <w:br/>
            </w:r>
            <w:r>
              <w:rPr>
                <w:rStyle w:val="row-content"/>
              </w:rPr>
              <w:t xml:space="preserve">Has been superseded by </w:t>
            </w:r>
            <w:hyperlink w:history="true" r:id="Red2babc5a0b542c4">
              <w:r>
                <w:rPr>
                  <w:rStyle w:val="Hyperlink"/>
                </w:rPr>
                <w:t xml:space="preserve">National Indigenous Reform Agreement: PI 09-Antenatal care, 2013</w:t>
              </w:r>
            </w:hyperlink>
          </w:p>
          <w:p>
            <w:pPr>
              <w:spacing w:before="0" w:after="0"/>
            </w:pPr>
            <w:r>
              <w:rPr>
                <w:rStyle w:val="row-content"/>
                <w:color w:val="244061"/>
              </w:rPr>
              <w:t xml:space="preserve">       </w:t>
            </w:r>
            <w:hyperlink w:history="true" r:id="R3344d4a409044aed">
              <w:r>
                <w:rPr>
                  <w:rStyle w:val="Hyperlink"/>
                  <w:color w:val="244061"/>
                </w:rPr>
                <w:t xml:space="preserve">Indigenous</w:t>
              </w:r>
            </w:hyperlink>
            <w:r>
              <w:rPr>
                <w:rStyle w:val="row-content"/>
                <w:color w:val="244061"/>
              </w:rPr>
              <w:t xml:space="preserve">, Superseded 13/12/2013</w:t>
            </w:r>
          </w:p>
          <w:p>
            <w:r>
              <w:br/>
            </w:r>
            <w:r>
              <w:rPr>
                <w:rStyle w:val="row-content"/>
              </w:rPr>
              <w:t xml:space="preserve">See also </w:t>
            </w:r>
            <w:hyperlink w:history="true" r:id="Rc807767fd1174e71">
              <w:r>
                <w:rPr>
                  <w:rStyle w:val="Hyperlink"/>
                </w:rPr>
                <w:t xml:space="preserve">National Healthcare Agreement: PI 33-Women with at least one antenatal visit in the first trimester of pregnancy, 2012</w:t>
              </w:r>
            </w:hyperlink>
          </w:p>
          <w:p>
            <w:pPr>
              <w:spacing w:before="0" w:after="0"/>
            </w:pPr>
            <w:r>
              <w:rPr>
                <w:rStyle w:val="row-content"/>
                <w:color w:val="244061"/>
              </w:rPr>
              <w:t xml:space="preserve">       </w:t>
            </w:r>
            <w:hyperlink w:history="true" r:id="R1761d7f1ddb449b9">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469e6408efb140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438513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d419951ebe42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9e6408efb14006" /><Relationship Type="http://schemas.openxmlformats.org/officeDocument/2006/relationships/header" Target="/word/header1.xml" Id="R9a8b92d0e32d4bc5" /><Relationship Type="http://schemas.openxmlformats.org/officeDocument/2006/relationships/settings" Target="/word/settings.xml" Id="R634f3a18439b447d" /><Relationship Type="http://schemas.openxmlformats.org/officeDocument/2006/relationships/styles" Target="/word/styles.xml" Id="R3cd44e99f9c046f2" /><Relationship Type="http://schemas.openxmlformats.org/officeDocument/2006/relationships/hyperlink" Target="https://meteor.aihw.gov.au/RegistrationAuthority/6" TargetMode="External" Id="R6bfeeec0c29241c7" /><Relationship Type="http://schemas.openxmlformats.org/officeDocument/2006/relationships/hyperlink" Target="https://meteor.aihw.gov.au/content/438475" TargetMode="External" Id="R7b52520afe074125" /><Relationship Type="http://schemas.openxmlformats.org/officeDocument/2006/relationships/hyperlink" Target="https://meteor.aihw.gov.au/RegistrationAuthority/6" TargetMode="External" Id="R1ad23e90056a4562" /><Relationship Type="http://schemas.openxmlformats.org/officeDocument/2006/relationships/hyperlink" Target="https://meteor.aihw.gov.au/content/396166" TargetMode="External" Id="R33aa57aafd194521" /><Relationship Type="http://schemas.openxmlformats.org/officeDocument/2006/relationships/hyperlink" Target="https://meteor.aihw.gov.au/RegistrationAuthority/6" TargetMode="External" Id="Rc04d1750efad481f" /><Relationship Type="http://schemas.openxmlformats.org/officeDocument/2006/relationships/hyperlink" Target="https://meteor.aihw.gov.au/content/480516" TargetMode="External" Id="Rd9a02416d0af4ccb" /><Relationship Type="http://schemas.openxmlformats.org/officeDocument/2006/relationships/hyperlink" Target="https://meteor.aihw.gov.au/RegistrationAuthority/6" TargetMode="External" Id="R7a2164475d41495f" /><Relationship Type="http://schemas.openxmlformats.org/officeDocument/2006/relationships/hyperlink" Target="https://meteor.aihw.gov.au/content/392479" TargetMode="External" Id="R4c22abeff32c4358" /><Relationship Type="http://schemas.openxmlformats.org/officeDocument/2006/relationships/hyperlink" Target="https://meteor.aihw.gov.au/content/269965" TargetMode="External" Id="R5468bcf2ec0a4c42" /><Relationship Type="http://schemas.openxmlformats.org/officeDocument/2006/relationships/hyperlink" Target="https://meteor.aihw.gov.au/content/392479" TargetMode="External" Id="Rd92b22d763dc43d8" /><Relationship Type="http://schemas.openxmlformats.org/officeDocument/2006/relationships/hyperlink" Target="https://meteor.aihw.gov.au/content/362313" TargetMode="External" Id="R5bdfffa6c2f44116" /><Relationship Type="http://schemas.openxmlformats.org/officeDocument/2006/relationships/hyperlink" Target="https://meteor.aihw.gov.au/content/379597" TargetMode="External" Id="Ref9a1b53127b4ec3" /><Relationship Type="http://schemas.openxmlformats.org/officeDocument/2006/relationships/hyperlink" Target="https://meteor.aihw.gov.au/content/392479" TargetMode="External" Id="R0d375584143b4d7f" /><Relationship Type="http://schemas.openxmlformats.org/officeDocument/2006/relationships/hyperlink" Target="https://meteor.aihw.gov.au/content/392479" TargetMode="External" Id="Ra831d437c8804828" /><Relationship Type="http://schemas.openxmlformats.org/officeDocument/2006/relationships/hyperlink" Target="https://meteor.aihw.gov.au/content/269965" TargetMode="External" Id="Rcb133427b84d4be8" /><Relationship Type="http://schemas.openxmlformats.org/officeDocument/2006/relationships/hyperlink" Target="https://meteor.aihw.gov.au/content/392479" TargetMode="External" Id="R3d545a1dec764fdd" /><Relationship Type="http://schemas.openxmlformats.org/officeDocument/2006/relationships/hyperlink" Target="https://meteor.aihw.gov.au/content/362313" TargetMode="External" Id="R2611b27e767645e1" /><Relationship Type="http://schemas.openxmlformats.org/officeDocument/2006/relationships/hyperlink" Target="https://meteor.aihw.gov.au/content/379597" TargetMode="External" Id="Rda00e89f3fe54813" /><Relationship Type="http://schemas.openxmlformats.org/officeDocument/2006/relationships/hyperlink" Target="https://meteor.aihw.gov.au/content/392479" TargetMode="External" Id="R7219d500ce6e48f4" /><Relationship Type="http://schemas.openxmlformats.org/officeDocument/2006/relationships/numbering" Target="/word/numbering.xml" Id="R79ff97cbc35644b4" /><Relationship Type="http://schemas.openxmlformats.org/officeDocument/2006/relationships/hyperlink" Target="https://meteor.aihw.gov.au/content/291036" TargetMode="External" Id="Rbb4dfabfa2434628" /><Relationship Type="http://schemas.openxmlformats.org/officeDocument/2006/relationships/hyperlink" Target="https://meteor.aihw.gov.au/content/392479" TargetMode="External" Id="Rcc19f5982372490c" /><Relationship Type="http://schemas.openxmlformats.org/officeDocument/2006/relationships/hyperlink" Target="https://meteor.aihw.gov.au/content/362313" TargetMode="External" Id="Rc67b410273b64032" /><Relationship Type="http://schemas.openxmlformats.org/officeDocument/2006/relationships/hyperlink" Target="https://meteor.aihw.gov.au/content/377103" TargetMode="External" Id="Ra0ef4ef81bbb47d4" /><Relationship Type="http://schemas.openxmlformats.org/officeDocument/2006/relationships/hyperlink" Target="https://meteor.aihw.gov.au/content/392479" TargetMode="External" Id="R837c19cb25ad428f" /><Relationship Type="http://schemas.openxmlformats.org/officeDocument/2006/relationships/hyperlink" Target="https://meteor.aihw.gov.au/content/362313" TargetMode="External" Id="R9160da80e4744d81" /><Relationship Type="http://schemas.openxmlformats.org/officeDocument/2006/relationships/hyperlink" Target="https://meteor.aihw.gov.au/content/410681" TargetMode="External" Id="R309b2555b58c44b1" /><Relationship Type="http://schemas.openxmlformats.org/officeDocument/2006/relationships/hyperlink" Target="https://meteor.aihw.gov.au/content/392479" TargetMode="External" Id="R922085cfa68a46c6" /><Relationship Type="http://schemas.openxmlformats.org/officeDocument/2006/relationships/hyperlink" Target="https://meteor.aihw.gov.au/content/410271" TargetMode="External" Id="R4c39e9f8230d46ef" /><Relationship Type="http://schemas.openxmlformats.org/officeDocument/2006/relationships/hyperlink" Target="https://meteor.aihw.gov.au/content/425775" TargetMode="External" Id="Rfd1106e2e77d44ba" /><Relationship Type="http://schemas.openxmlformats.org/officeDocument/2006/relationships/hyperlink" Target="https://meteor.aihw.gov.au/RegistrationAuthority/12" TargetMode="External" Id="R2b97070fe79c4589" /><Relationship Type="http://schemas.openxmlformats.org/officeDocument/2006/relationships/hyperlink" Target="https://meteor.aihw.gov.au/RegistrationAuthority/6" TargetMode="External" Id="R459f4a01dff545b5" /><Relationship Type="http://schemas.openxmlformats.org/officeDocument/2006/relationships/hyperlink" Target="https://meteor.aihw.gov.au/content/484317" TargetMode="External" Id="Red2babc5a0b542c4" /><Relationship Type="http://schemas.openxmlformats.org/officeDocument/2006/relationships/hyperlink" Target="https://meteor.aihw.gov.au/RegistrationAuthority/6" TargetMode="External" Id="R3344d4a409044aed" /><Relationship Type="http://schemas.openxmlformats.org/officeDocument/2006/relationships/hyperlink" Target="https://meteor.aihw.gov.au/content/435858" TargetMode="External" Id="Rc807767fd1174e71" /><Relationship Type="http://schemas.openxmlformats.org/officeDocument/2006/relationships/hyperlink" Target="https://meteor.aihw.gov.au/RegistrationAuthority/12" TargetMode="External" Id="R1761d7f1ddb449b9" /></Relationships>
</file>

<file path=word/_rels/header1.xml.rels>&#65279;<?xml version="1.0" encoding="utf-8"?><Relationships xmlns="http://schemas.openxmlformats.org/package/2006/relationships"><Relationship Type="http://schemas.openxmlformats.org/officeDocument/2006/relationships/image" Target="/media/image.png" Id="R58d419951ebe4247" /></Relationships>
</file>