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645a83e8044e5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03-Hospitalisation rates by principal diagnosis,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03-Hospitalisation rates by principal diagnosis,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03-Hospitalisation rates by principal diagnosis,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d384cc783940d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separation rates for leading principal diagnoses for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Monitoring hospitalisation rates for different diseases so that it is understood which diseases are major contributors to morbidity among Indigenous Australians and where programs are succeeding and where they are not will assist in achieving the closing the gap targets.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489c2574afc490b">
              <w:r>
                <w:rPr>
                  <w:rStyle w:val="Hyperlink"/>
                </w:rPr>
                <w:t xml:space="preserve">National Indigenous Reform Agreement (2012)</w:t>
              </w:r>
            </w:hyperlink>
          </w:p>
          <w:p>
            <w:pPr>
              <w:spacing w:before="0" w:after="0"/>
            </w:pPr>
            <w:r>
              <w:rPr>
                <w:rStyle w:val="row-content"/>
                <w:color w:val="244061"/>
              </w:rPr>
              <w:t xml:space="preserve">       </w:t>
            </w:r>
            <w:hyperlink w:history="true" r:id="R4a36932a3ea44994">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214541f9a4c4a20">
              <w:r>
                <w:rPr>
                  <w:rStyle w:val="Hyperlink"/>
                </w:rPr>
                <w:t xml:space="preserve">Indigenous Australians achieve health outcomes comparable to the broader population</w:t>
              </w:r>
            </w:hyperlink>
          </w:p>
          <w:p>
            <w:pPr>
              <w:spacing w:before="0" w:after="0"/>
            </w:pPr>
            <w:r>
              <w:rPr>
                <w:rStyle w:val="row-content"/>
                <w:color w:val="244061"/>
              </w:rPr>
              <w:t xml:space="preserve">       </w:t>
            </w:r>
            <w:hyperlink w:history="true" r:id="R397ac8eedd874f5d">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fa6c3126952421a">
              <w:r>
                <w:rPr>
                  <w:rStyle w:val="Hyperlink"/>
                </w:rPr>
                <w:t xml:space="preserve">National Indigenous Reform Agreement: PI 03-Hospitalisation rates by principal diagnosis, 2012 QS</w:t>
              </w:r>
            </w:hyperlink>
          </w:p>
          <w:p>
            <w:pPr>
              <w:spacing w:before="0" w:after="0"/>
            </w:pPr>
            <w:r>
              <w:rPr>
                <w:rStyle w:val="row-content"/>
                <w:color w:val="244061"/>
              </w:rPr>
              <w:t xml:space="preserve">       </w:t>
            </w:r>
            <w:hyperlink w:history="true" r:id="R5b6f1e5ac2df40f4">
              <w:r>
                <w:rPr>
                  <w:rStyle w:val="Hyperlink"/>
                  <w:color w:val="244061"/>
                </w:rPr>
                <w:t xml:space="preserve">Indigenous</w:t>
              </w:r>
            </w:hyperlink>
            <w:r>
              <w:rPr>
                <w:rStyle w:val="row-content"/>
                <w:color w:val="244061"/>
              </w:rPr>
              <w:t xml:space="preserve">, Superseded 13/06/2013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Other Australians.</w:t>
            </w:r>
          </w:p>
          <w:p>
            <w:pPr>
              <w:spacing w:after="160"/>
            </w:pPr>
            <w:r>
              <w:rPr>
                <w:rStyle w:val="row-content-rich-text"/>
              </w:rPr>
              <w:t xml:space="preserve">Rate ratios and rate differences are calculated for Indigenous:Other Australians.</w:t>
            </w:r>
          </w:p>
          <w:p>
            <w:pPr>
              <w:spacing w:after="160"/>
            </w:pPr>
            <w:r>
              <w:rPr>
                <w:rStyle w:val="row-content-rich-text"/>
              </w:rPr>
              <w:t xml:space="preserve">Principal diagnoses to be listed from highest to lowest Indigenous percentage for the most recent period (2 years combined).</w:t>
            </w:r>
          </w:p>
          <w:p>
            <w:pPr>
              <w:spacing w:after="160"/>
            </w:pPr>
            <w:r>
              <w:rPr>
                <w:rStyle w:val="row-content-rich-text"/>
              </w:rPr>
              <w:t xml:space="preserve">For variability bands: More work is to be undertaken by the AIHW regarding the use of variability bands for hospitalisation data for COAG reporting.</w:t>
            </w:r>
          </w:p>
          <w:p>
            <w:pPr>
              <w:spacing w:after="160"/>
            </w:pPr>
            <w:r>
              <w:rPr>
                <w:rStyle w:val="row-content-rich-text"/>
              </w:rPr>
              <w:t xml:space="preserve">For trends: Percentage change and statistical significance of change is to be calculated (required for CRC reporting).</w:t>
            </w:r>
          </w:p>
          <w:p>
            <w:pPr>
              <w:spacing w:after="160"/>
            </w:pPr>
            <w:r>
              <w:rPr>
                <w:rStyle w:val="row-content-rich-text"/>
              </w:rPr>
              <w:t xml:space="preserve">Presentation: Number, rate per 1,000 persons; percentage; rate ratios, rate differences.</w:t>
            </w:r>
          </w:p>
          <w:p>
            <w:pPr>
              <w:spacing w:after="160"/>
            </w:pPr>
            <w:r>
              <w:rPr>
                <w:rStyle w:val="row-content-rich-text"/>
              </w:rPr>
              <w:t xml:space="preserve">Excludes care types of:</w:t>
            </w:r>
          </w:p>
          <w:p>
            <w:pPr>
              <w:pStyle w:val="ListParagraph"/>
              <w:numPr>
                <w:ilvl w:val="0"/>
                <w:numId w:val="2"/>
              </w:numPr>
            </w:pPr>
            <w:r>
              <w:rPr>
                <w:rStyle w:val="row-content-rich-text"/>
              </w:rPr>
              <w:t xml:space="preserve">newborn-unqualified days only;</w:t>
            </w:r>
          </w:p>
          <w:p>
            <w:pPr>
              <w:pStyle w:val="ListParagraph"/>
              <w:numPr>
                <w:ilvl w:val="0"/>
                <w:numId w:val="2"/>
              </w:numPr>
            </w:pPr>
            <w:r>
              <w:rPr>
                <w:rStyle w:val="row-content-rich-text"/>
              </w:rPr>
              <w:t xml:space="preserve">organ procurement-posthumous</w:t>
            </w:r>
          </w:p>
          <w:p>
            <w:pPr>
              <w:pStyle w:val="ListParagraph"/>
              <w:numPr>
                <w:ilvl w:val="0"/>
                <w:numId w:val="2"/>
              </w:numPr>
            </w:pPr>
            <w:r>
              <w:rPr>
                <w:rStyle w:val="row-content-rich-text"/>
              </w:rPr>
              <w:t xml:space="preserve">hospital boarder.</w:t>
            </w:r>
          </w:p>
          <w:p>
            <w:pPr>
              <w:spacing w:after="160"/>
            </w:pPr>
            <w:r>
              <w:rPr>
                <w:rStyle w:val="row-content-rich-text"/>
                <w:u w:val="single"/>
              </w:rPr>
              <w:t xml:space="preserve">Definitions</w:t>
            </w:r>
            <w:r>
              <w:rPr>
                <w:rStyle w:val="row-content-rich-text"/>
              </w:rPr>
              <w:t xml:space="preserve">:</w:t>
            </w:r>
          </w:p>
          <w:p>
            <w:pPr>
              <w:spacing w:after="160"/>
            </w:pPr>
            <w:r>
              <w:rPr>
                <w:rStyle w:val="row-content-rich-text"/>
              </w:rPr>
              <w:t xml:space="preserve">Other Australians includes non-Indigenous and ‘not stated’ Indigenous status.</w:t>
            </w:r>
          </w:p>
          <w:p>
            <w:pPr>
              <w:spacing w:after="160"/>
            </w:pPr>
            <w:r>
              <w:rPr>
                <w:rStyle w:val="row-content-rich-text"/>
              </w:rPr>
              <w:t xml:space="preserve">Leading principal diagnoses (ICD-10-AM codes) are those used in Aboriginal and Torres Strait Islander Health Performance Framework: </w:t>
            </w:r>
          </w:p>
          <w:p>
            <w:pPr>
              <w:pStyle w:val="ListParagraph"/>
              <w:numPr>
                <w:ilvl w:val="0"/>
                <w:numId w:val="3"/>
              </w:numPr>
            </w:pPr>
            <w:r>
              <w:rPr>
                <w:rStyle w:val="row-content-rich-text"/>
              </w:rPr>
              <w:t xml:space="preserve">Injury and poisoning and certain other consequences of external causes (S00-T98)</w:t>
            </w:r>
          </w:p>
          <w:p>
            <w:pPr>
              <w:pStyle w:val="ListParagraph"/>
              <w:numPr>
                <w:ilvl w:val="0"/>
                <w:numId w:val="3"/>
              </w:numPr>
            </w:pPr>
            <w:r>
              <w:rPr>
                <w:rStyle w:val="row-content-rich-text"/>
              </w:rPr>
              <w:t xml:space="preserve">Diseases of the respiratory system (J00-J99)</w:t>
            </w:r>
          </w:p>
          <w:p>
            <w:pPr>
              <w:pStyle w:val="ListParagraph"/>
              <w:numPr>
                <w:ilvl w:val="0"/>
                <w:numId w:val="3"/>
              </w:numPr>
            </w:pPr>
            <w:r>
              <w:rPr>
                <w:rStyle w:val="row-content-rich-text"/>
              </w:rPr>
              <w:t xml:space="preserve">Diseases of the digestive system (K00-K93)</w:t>
            </w:r>
          </w:p>
          <w:p>
            <w:pPr>
              <w:pStyle w:val="ListParagraph"/>
              <w:numPr>
                <w:ilvl w:val="0"/>
                <w:numId w:val="3"/>
              </w:numPr>
            </w:pPr>
            <w:r>
              <w:rPr>
                <w:rStyle w:val="row-content-rich-text"/>
              </w:rPr>
              <w:t xml:space="preserve">Pregnancy, childbirth and the puerperium (O00-O99)</w:t>
            </w:r>
          </w:p>
          <w:p>
            <w:pPr>
              <w:pStyle w:val="ListParagraph"/>
              <w:numPr>
                <w:ilvl w:val="0"/>
                <w:numId w:val="3"/>
              </w:numPr>
            </w:pPr>
            <w:r>
              <w:rPr>
                <w:rStyle w:val="row-content-rich-text"/>
              </w:rPr>
              <w:t xml:space="preserve">Diseases of the circulatory system (I00-I99)</w:t>
            </w:r>
          </w:p>
          <w:p>
            <w:pPr>
              <w:pStyle w:val="ListParagraph"/>
              <w:numPr>
                <w:ilvl w:val="0"/>
                <w:numId w:val="3"/>
              </w:numPr>
            </w:pPr>
            <w:r>
              <w:rPr>
                <w:rStyle w:val="row-content-rich-text"/>
              </w:rPr>
              <w:t xml:space="preserve">Symptoms, signs and abnormal clinical and laboratory findings (R00-R99)</w:t>
            </w:r>
          </w:p>
          <w:p>
            <w:pPr>
              <w:pStyle w:val="ListParagraph"/>
              <w:numPr>
                <w:ilvl w:val="0"/>
                <w:numId w:val="3"/>
              </w:numPr>
            </w:pPr>
            <w:r>
              <w:rPr>
                <w:rStyle w:val="row-content-rich-text"/>
              </w:rPr>
              <w:t xml:space="preserve">Mental and behavioural disorders (F00-F99)</w:t>
            </w:r>
          </w:p>
          <w:p>
            <w:pPr>
              <w:pStyle w:val="ListParagraph"/>
              <w:numPr>
                <w:ilvl w:val="0"/>
                <w:numId w:val="3"/>
              </w:numPr>
            </w:pPr>
            <w:r>
              <w:rPr>
                <w:rStyle w:val="row-content-rich-text"/>
              </w:rPr>
              <w:t xml:space="preserve">Endocrine, nutritional and metabolic diseases (E00-E90)</w:t>
            </w:r>
          </w:p>
          <w:p>
            <w:pPr>
              <w:pStyle w:val="ListParagraph"/>
              <w:numPr>
                <w:ilvl w:val="0"/>
                <w:numId w:val="3"/>
              </w:numPr>
            </w:pPr>
            <w:r>
              <w:rPr>
                <w:rStyle w:val="row-content-rich-text"/>
              </w:rPr>
              <w:t xml:space="preserve">Diseases of the genitourinary system (N00-N99)</w:t>
            </w:r>
          </w:p>
          <w:p>
            <w:pPr>
              <w:pStyle w:val="ListParagraph"/>
              <w:numPr>
                <w:ilvl w:val="0"/>
                <w:numId w:val="3"/>
              </w:numPr>
            </w:pPr>
            <w:r>
              <w:rPr>
                <w:rStyle w:val="row-content-rich-text"/>
              </w:rPr>
              <w:t xml:space="preserve">Diseases of the skin and subcutaneous tissue (L00-L99)</w:t>
            </w:r>
          </w:p>
          <w:p>
            <w:pPr>
              <w:pStyle w:val="ListParagraph"/>
              <w:numPr>
                <w:ilvl w:val="0"/>
                <w:numId w:val="3"/>
              </w:numPr>
            </w:pPr>
            <w:r>
              <w:rPr>
                <w:rStyle w:val="row-content-rich-text"/>
              </w:rPr>
              <w:t xml:space="preserve">Certain infectious and parasitic diseases (A00-B99)</w:t>
            </w:r>
          </w:p>
          <w:p>
            <w:pPr>
              <w:pStyle w:val="ListParagraph"/>
              <w:numPr>
                <w:ilvl w:val="0"/>
                <w:numId w:val="3"/>
              </w:numPr>
            </w:pPr>
            <w:r>
              <w:rPr>
                <w:rStyle w:val="row-content-rich-text"/>
              </w:rPr>
              <w:t xml:space="preserve">Other</w:t>
            </w:r>
          </w:p>
          <w:p>
            <w:pPr>
              <w:pStyle w:val="ListParagraph"/>
              <w:numPr>
                <w:ilvl w:val="0"/>
                <w:numId w:val="3"/>
              </w:numPr>
            </w:pPr>
            <w:r>
              <w:rPr>
                <w:rStyle w:val="row-content-rich-text"/>
              </w:rPr>
              <w:t xml:space="preserve">Total (excluding care involving dialysis)</w:t>
            </w:r>
          </w:p>
          <w:p>
            <w:pPr>
              <w:pStyle w:val="ListParagraph"/>
              <w:numPr>
                <w:ilvl w:val="0"/>
                <w:numId w:val="3"/>
              </w:numPr>
            </w:pPr>
            <w:r>
              <w:rPr>
                <w:rStyle w:val="row-content-rich-text"/>
              </w:rPr>
              <w:t xml:space="preserve">Care involving dialysis (Z49)</w:t>
            </w:r>
          </w:p>
          <w:p>
            <w:pPr>
              <w:pStyle w:val="ListParagraph"/>
              <w:numPr>
                <w:ilvl w:val="0"/>
                <w:numId w:val="3"/>
              </w:numPr>
            </w:pPr>
            <w:r>
              <w:rPr>
                <w:rStyle w:val="row-content-rich-tex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percentage: number of separations by principal diagnosis divided by total separations.</w:t>
            </w:r>
          </w:p>
          <w:p>
            <w:pPr>
              <w:spacing w:after="160"/>
            </w:pPr>
            <w:r>
              <w:rPr>
                <w:rStyle w:val="row-content-rich-text"/>
              </w:rPr>
              <w:t xml:space="preserve">Crude rate: 1,000 x (Numerator ÷ Denominator).</w:t>
            </w:r>
          </w:p>
          <w:p>
            <w:pPr>
              <w:spacing w:after="160"/>
            </w:pPr>
            <w:r>
              <w:rPr>
                <w:rStyle w:val="row-content-rich-text"/>
              </w:rPr>
              <w:t xml:space="preserve">Age-standardised rate: calculated using the direct method using five year age groups from 0-4 to 65 years and over (due to availability of Indigenous population estimates for Tas and ACT) and the Australian population as at 30 June 2001 as the standard. Age-standardisation should be done in accordance with the NIRAPIMG agreed principles for direct age-standardisation (see Comments section).</w:t>
            </w:r>
          </w:p>
          <w:p>
            <w:pPr>
              <w:spacing w:after="160"/>
            </w:pPr>
            <w:r>
              <w:rPr>
                <w:rStyle w:val="row-content-rich-text"/>
              </w:rPr>
              <w:t xml:space="preserve">Rate ratio: Indigenous age-standardised rate divided by Other Australian age-standardised rate.</w:t>
            </w:r>
          </w:p>
          <w:p>
            <w:pPr>
              <w:spacing w:after="160"/>
            </w:pPr>
            <w:r>
              <w:rPr>
                <w:rStyle w:val="row-content-rich-text"/>
              </w:rPr>
              <w:t xml:space="preserve">Rate difference: Indigenous age standardised rate minus Other Australian age-standardised rate.</w:t>
            </w:r>
          </w:p>
          <w:p>
            <w:pPr>
              <w:spacing w:after="160"/>
            </w:pPr>
            <w:r>
              <w:rPr>
                <w:rStyle w:val="row-content-rich-text"/>
              </w:rPr>
              <w:t xml:space="preserve">Percentage change: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r>
              <w:rPr>
                <w:rStyle w:val="row-content-rich-text"/>
              </w:rPr>
              <w:t xml:space="preserve">Statistical significance of change:  More work to be undertaken by the AIHW regarding the use and methodology for statistical significance of change for hospitalisation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hospital separations (public and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36e06fc28f4926">
              <w:r>
                <w:rPr>
                  <w:rStyle w:val="Hyperlink"/>
                </w:rPr>
                <w:t xml:space="preserve">Episode of admitted patient care—admission date, DDMMYYYY</w:t>
              </w:r>
            </w:hyperlink>
          </w:p>
          <w:p>
            <w:r>
              <w:rPr>
                <w:rStyle w:val="row-content"/>
                <w:b/>
              </w:rPr>
              <w:t xml:space="preserve">Data Source</w:t>
            </w:r>
          </w:p>
          <w:p>
            <w:hyperlink w:history="true" r:id="R9befea9ca16540bd">
              <w:r>
                <w:rPr>
                  <w:rStyle w:val="Hyperlink"/>
                </w:rPr>
                <w:t xml:space="preserve">National Hospital Morbidity Database (NHMD)</w:t>
              </w:r>
            </w:hyperlink>
          </w:p>
          <w:p>
            <w:r>
              <w:rPr>
                <w:rStyle w:val="row-content"/>
                <w:b/>
              </w:rPr>
              <w:t xml:space="preserve">NMDS / DSS</w:t>
            </w:r>
          </w:p>
          <w:p>
            <w:hyperlink w:history="true" r:id="Rbc90625feda14dc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363527871ea4c2c">
              <w:r>
                <w:rPr>
                  <w:rStyle w:val="Hyperlink"/>
                </w:rPr>
                <w:t xml:space="preserve">Episode of admitted patient care—separation date, DDMMYYYY</w:t>
              </w:r>
            </w:hyperlink>
          </w:p>
          <w:p>
            <w:r>
              <w:rPr>
                <w:rStyle w:val="row-content"/>
                <w:b/>
              </w:rPr>
              <w:t xml:space="preserve">Data Source</w:t>
            </w:r>
          </w:p>
          <w:p>
            <w:hyperlink w:history="true" r:id="R46e1fff6352a4b21">
              <w:r>
                <w:rPr>
                  <w:rStyle w:val="Hyperlink"/>
                </w:rPr>
                <w:t xml:space="preserve">National Hospital Morbidity Database (NHMD)</w:t>
              </w:r>
            </w:hyperlink>
          </w:p>
          <w:p>
            <w:r>
              <w:rPr>
                <w:rStyle w:val="row-content"/>
                <w:b/>
              </w:rPr>
              <w:t xml:space="preserve">NMDS / DSS</w:t>
            </w:r>
          </w:p>
          <w:p>
            <w:hyperlink w:history="true" r:id="R0a1cf7677fc643d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all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548abd09d6412c">
              <w:r>
                <w:rPr>
                  <w:rStyle w:val="Hyperlink"/>
                </w:rPr>
                <w:t xml:space="preserve">Person—estimated resident population of Australia, total people N[N(7)]</w:t>
              </w:r>
            </w:hyperlink>
          </w:p>
          <w:p>
            <w:r>
              <w:rPr>
                <w:rStyle w:val="row-content"/>
                <w:b/>
              </w:rPr>
              <w:t xml:space="preserve">Data Source</w:t>
            </w:r>
          </w:p>
          <w:p>
            <w:hyperlink w:history="true" r:id="R7e7c8dc555fd48ae">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 Post-enumeration survey (PES) and estimates of fertility, mortality, net migration etc.</w:t>
            </w:r>
          </w:p>
          <w:p>
            <w:r>
              <w:rPr>
                <w:rStyle w:val="row-content"/>
                <w:b/>
                <w:color w:val="000000"/>
              </w:rPr>
              <w:t xml:space="preserve">Data Element / Data Set</w:t>
            </w:r>
          </w:p>
          <w:p>
            <w:hyperlink w:history="true" r:id="R5ccbb5c58a9f4553">
              <w:r>
                <w:rPr>
                  <w:rStyle w:val="Hyperlink"/>
                </w:rPr>
                <w:t xml:space="preserve">Person—estimated resident population of Australia, total people N[N(7)]</w:t>
              </w:r>
            </w:hyperlink>
          </w:p>
          <w:p>
            <w:r>
              <w:rPr>
                <w:rStyle w:val="row-content"/>
                <w:b/>
              </w:rPr>
              <w:t xml:space="preserve">Data Source</w:t>
            </w:r>
          </w:p>
          <w:p>
            <w:hyperlink w:history="true" r:id="Rb0ced5b13b27436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 PES and estimates of fertility, mortality, net migration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Current period</w:t>
            </w:r>
            <w:r>
              <w:rPr>
                <w:rStyle w:val="row-content-rich-text"/>
              </w:rPr>
              <w:t xml:space="preserve"> - 2008-09 to 2009-10:</w:t>
            </w:r>
          </w:p>
          <w:p>
            <w:pPr>
              <w:spacing w:after="160"/>
            </w:pPr>
            <w:r>
              <w:rPr>
                <w:rStyle w:val="row-content-rich-text"/>
              </w:rPr>
              <w:t xml:space="preserve">For Indigenous only (crude rates, and percentage).</w:t>
            </w:r>
          </w:p>
          <w:p>
            <w:pPr>
              <w:pStyle w:val="ListParagraph"/>
              <w:numPr>
                <w:ilvl w:val="0"/>
                <w:numId w:val="4"/>
              </w:numPr>
            </w:pPr>
            <w:r>
              <w:rPr>
                <w:rStyle w:val="row-content-rich-text"/>
              </w:rPr>
              <w:t xml:space="preserve">State and territory (including national total) by principal diagnosis (ICD-10-AM chapter level).</w:t>
            </w:r>
          </w:p>
          <w:p>
            <w:pPr>
              <w:spacing w:after="160"/>
            </w:pPr>
            <w:r>
              <w:rPr>
                <w:rStyle w:val="row-content-rich-text"/>
              </w:rPr>
              <w:t xml:space="preserve">National by sex, by principal diagnosis (ICD-10-AM chapter level).</w:t>
            </w:r>
          </w:p>
          <w:p>
            <w:pPr>
              <w:spacing w:after="160"/>
            </w:pPr>
            <w:r>
              <w:rPr>
                <w:rStyle w:val="row-content-rich-text"/>
              </w:rPr>
              <w:t xml:space="preserve">For Indigenous and other Australians (age standardised rates, rate ratios, and rate differences).</w:t>
            </w:r>
          </w:p>
          <w:p>
            <w:pPr>
              <w:spacing w:after="160"/>
            </w:pPr>
            <w:r>
              <w:rPr>
                <w:rStyle w:val="row-content-rich-text"/>
              </w:rPr>
              <w:t xml:space="preserve">State and territory (including national total) by principal diagnosis (ICD-10-AM chapter level), by Indigenous status.</w:t>
            </w:r>
          </w:p>
          <w:p>
            <w:pPr>
              <w:spacing w:after="160"/>
            </w:pPr>
            <w:r>
              <w:rPr>
                <w:rStyle w:val="row-content-rich-text"/>
              </w:rPr>
              <w:t xml:space="preserve">State and territory (including national total) by sex by principal diagnosis (ICD-10-AM chapter level), by Indigenous status.</w:t>
            </w:r>
          </w:p>
          <w:p>
            <w:pPr>
              <w:spacing w:after="160"/>
            </w:pPr>
            <w:r>
              <w:rPr>
                <w:rStyle w:val="row-content-rich-text"/>
                <w:b/>
              </w:rPr>
              <w:t xml:space="preserve">Time series</w:t>
            </w:r>
            <w:r>
              <w:rPr>
                <w:rStyle w:val="row-content-rich-text"/>
              </w:rPr>
              <w:t xml:space="preserve"> – 2006-07, 2007-08, 2008-09 (previously supplied), 2009-10 (to be supplied for 2012 reporting):</w:t>
            </w:r>
          </w:p>
          <w:p>
            <w:pPr>
              <w:spacing w:after="160"/>
            </w:pPr>
            <w:r>
              <w:rPr>
                <w:rStyle w:val="row-content-rich-text"/>
              </w:rPr>
              <w:t xml:space="preserve">For Indigenous and other Australians (age standardised rates, rate ratios, rate differences, and percent change. Variability bands and statistical significance of change to be advised by AIHW).</w:t>
            </w:r>
          </w:p>
          <w:p>
            <w:pPr>
              <w:pStyle w:val="ListParagraph"/>
              <w:numPr>
                <w:ilvl w:val="0"/>
                <w:numId w:val="6"/>
              </w:numPr>
            </w:pPr>
            <w:r>
              <w:rPr>
                <w:rStyle w:val="row-content-rich-text"/>
              </w:rPr>
              <w:t xml:space="preserve">State and territory (including national total) by principal diagnosis (ICD-10-AM chapter level) by Indigenous status.</w:t>
            </w:r>
          </w:p>
          <w:p>
            <w:pPr>
              <w:pStyle w:val="ListParagraph"/>
              <w:numPr>
                <w:ilvl w:val="0"/>
                <w:numId w:val="6"/>
              </w:numPr>
            </w:pPr>
            <w:r>
              <w:rPr>
                <w:rStyle w:val="row-content-rich-text"/>
              </w:rPr>
              <w:t xml:space="preserve">National by sex by principal diagnosis (ICD-10-1M chapter level)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b41c918dc544f43">
              <w:r>
                <w:rPr>
                  <w:rStyle w:val="Hyperlink"/>
                </w:rPr>
                <w:t xml:space="preserve">Person—sex, code N</w:t>
              </w:r>
            </w:hyperlink>
          </w:p>
          <w:p>
            <w:r>
              <w:rPr>
                <w:rStyle w:val="row-content"/>
                <w:b/>
              </w:rPr>
              <w:t xml:space="preserve">Data Source</w:t>
            </w:r>
          </w:p>
          <w:p>
            <w:hyperlink w:history="true" r:id="Ra67045dd35144db2">
              <w:r>
                <w:rPr>
                  <w:rStyle w:val="Hyperlink"/>
                </w:rPr>
                <w:t xml:space="preserve">National Hospital Morbidity Database (NHMD)</w:t>
              </w:r>
            </w:hyperlink>
          </w:p>
          <w:p>
            <w:r>
              <w:rPr>
                <w:rStyle w:val="row-content"/>
                <w:b/>
              </w:rPr>
              <w:t xml:space="preserve">NMDS / DSS</w:t>
            </w:r>
          </w:p>
          <w:p>
            <w:hyperlink w:history="true" r:id="Re89c70d54628434f">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fe8aaac8fa84fb0">
              <w:r>
                <w:rPr>
                  <w:rStyle w:val="Hyperlink"/>
                </w:rPr>
                <w:t xml:space="preserve">Person—Indigenous status, code N</w:t>
              </w:r>
            </w:hyperlink>
          </w:p>
          <w:p>
            <w:r>
              <w:rPr>
                <w:rStyle w:val="row-content"/>
                <w:b/>
              </w:rPr>
              <w:t xml:space="preserve">Data Source</w:t>
            </w:r>
          </w:p>
          <w:p>
            <w:hyperlink w:history="true" r:id="R4c87057444374cd6">
              <w:r>
                <w:rPr>
                  <w:rStyle w:val="Hyperlink"/>
                </w:rPr>
                <w:t xml:space="preserve">National Hospital Morbidity Database (NHMD)</w:t>
              </w:r>
            </w:hyperlink>
          </w:p>
          <w:p>
            <w:r>
              <w:rPr>
                <w:rStyle w:val="row-content"/>
                <w:b/>
              </w:rPr>
              <w:t xml:space="preserve">NMDS / DSS</w:t>
            </w:r>
          </w:p>
          <w:p>
            <w:hyperlink w:history="true" r:id="R5f34c1b7a97644f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fa61c7e6865415c">
              <w:r>
                <w:rPr>
                  <w:rStyle w:val="Hyperlink"/>
                </w:rPr>
                <w:t xml:space="preserve">Episode of care—principal diagnosis, code (ICD-10-AM 6th edn) ANN{.N[N]}</w:t>
              </w:r>
            </w:hyperlink>
          </w:p>
          <w:p>
            <w:r>
              <w:rPr>
                <w:rStyle w:val="row-content"/>
                <w:b/>
              </w:rPr>
              <w:t xml:space="preserve">Data Source</w:t>
            </w:r>
          </w:p>
          <w:p>
            <w:hyperlink w:history="true" r:id="R802e84b309474518">
              <w:r>
                <w:rPr>
                  <w:rStyle w:val="Hyperlink"/>
                </w:rPr>
                <w:t xml:space="preserve">National Hospital Morbidity Database (NHMD)</w:t>
              </w:r>
            </w:hyperlink>
          </w:p>
          <w:p>
            <w:r>
              <w:rPr>
                <w:rStyle w:val="row-content"/>
                <w:b/>
              </w:rPr>
              <w:t xml:space="preserve">NMDS / DSS</w:t>
            </w:r>
          </w:p>
          <w:p>
            <w:hyperlink w:history="true" r:id="R983e513ff11444b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ef52848fdc14bef">
              <w:r>
                <w:rPr>
                  <w:rStyle w:val="Hyperlink"/>
                </w:rPr>
                <w:t xml:space="preserve">Person—area of usual residence, geographical location code (ASGC 2008) NNNNN</w:t>
              </w:r>
            </w:hyperlink>
          </w:p>
          <w:p>
            <w:r>
              <w:rPr>
                <w:rStyle w:val="row-content"/>
                <w:b/>
              </w:rPr>
              <w:t xml:space="preserve">Data Source</w:t>
            </w:r>
          </w:p>
          <w:p>
            <w:hyperlink w:history="true" r:id="Re3dfbbc7e4e845bc">
              <w:r>
                <w:rPr>
                  <w:rStyle w:val="Hyperlink"/>
                </w:rPr>
                <w:t xml:space="preserve">National Hospital Morbidity Database (NHMD)</w:t>
              </w:r>
            </w:hyperlink>
          </w:p>
          <w:p>
            <w:r>
              <w:rPr>
                <w:rStyle w:val="row-content"/>
                <w:b/>
              </w:rPr>
              <w:t xml:space="preserve">NMDS / DSS</w:t>
            </w:r>
          </w:p>
          <w:p>
            <w:hyperlink w:history="true" r:id="Re5be8b0a968e4a89">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is 2009-10.</w:t>
            </w:r>
          </w:p>
          <w:p>
            <w:pPr>
              <w:spacing w:after="160"/>
            </w:pPr>
            <w:r>
              <w:rPr>
                <w:rStyle w:val="row-content-rich-text"/>
              </w:rPr>
              <w:t xml:space="preserve">Aggregated data (2008-09 to 2009-10) will be used for the current reporting period.</w:t>
            </w:r>
          </w:p>
          <w:p>
            <w:pPr>
              <w:spacing w:after="160"/>
            </w:pPr>
            <w:r>
              <w:rPr>
                <w:rStyle w:val="row-content-rich-text"/>
              </w:rPr>
              <w:t xml:space="preserve">Single year data (2006-07, 2007-08, 2008-09 and 2009-10) will be used for time series analysis; noting that previously supplied data will be used unless a resupply is provided.</w:t>
            </w:r>
          </w:p>
          <w:p>
            <w:pPr>
              <w:spacing w:after="160"/>
            </w:pPr>
            <w:r>
              <w:rPr>
                <w:rStyle w:val="row-content-rich-text"/>
              </w:rPr>
              <w:t xml:space="preserve">National disaggregation by Indigenous status will be based on data only from jurisdictions for which the quality of Indigenous identification is considered acceptable.</w:t>
            </w:r>
          </w:p>
          <w:p>
            <w:pPr>
              <w:spacing w:after="160"/>
            </w:pPr>
            <w:r>
              <w:rPr>
                <w:rStyle w:val="row-content-rich-text"/>
              </w:rPr>
              <w:t xml:space="preserve">At this stage, only data from selected state/territories are considered of acceptable quality for reporting hospitalisations of Indigenous persons: NSW, Vic, Qld, WA, SA and NT public hospitals.  National rates should include these six states and territories only. Tas/ACT data should be reported separately with caveats.</w:t>
            </w:r>
          </w:p>
          <w:p>
            <w:pPr>
              <w:spacing w:after="160"/>
            </w:pPr>
            <w:r>
              <w:rPr>
                <w:rStyle w:val="row-content-rich-text"/>
              </w:rPr>
              <w:t xml:space="preserve">Disaggregation by state/territory is based on the state/territory of the usual residence of the patient.</w:t>
            </w:r>
          </w:p>
          <w:p>
            <w:pPr>
              <w:spacing w:after="160"/>
            </w:pPr>
            <w:r>
              <w:rPr>
                <w:rStyle w:val="row-content-rich-text"/>
              </w:rPr>
              <w:t xml:space="preserve">National estimates adjusted for under-identification will be reported for total hospitalisations only as adjustment by cause is not possible.</w:t>
            </w:r>
          </w:p>
          <w:p>
            <w:pPr>
              <w:spacing w:after="160"/>
            </w:pPr>
            <w:r>
              <w:rPr>
                <w:rStyle w:val="row-content-rich-text"/>
              </w:rPr>
              <w:t xml:space="preserve">Disaggregation by Indigenous status is to be reported using 2 years combined data for the current reporting period. Single year data is to be reported for time series.</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More work is to be undertaken by the AIHW regarding the use of variability bands for hospitalisation data for COAG reporting.</w:t>
            </w:r>
          </w:p>
          <w:p>
            <w:pPr>
              <w:spacing w:after="160"/>
            </w:pPr>
            <w:r>
              <w:rPr>
                <w:rStyle w:val="row-content-rich-text"/>
              </w:rPr>
              <w:t xml:space="preserve">Baseline year for NIRA target (Close the life expectancy gap within a generation) is 2006; baseline year for this indicator is 2006-07; target year is 2031.</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to 75+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e6f1951d2d4b9b">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820b3d8d6a440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16294ca7d564bf1">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9b74d91af184d7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76d7488e799435c">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5a8526ffbdf446f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r>
              <w:rPr>
                <w:rStyle w:val="row-content-rich-text"/>
              </w:rPr>
              <w:t xml:space="preserve">Improve the quality of Indigenous identification in hospital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90f10af5791c414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5c90de2b3b4f67">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14db3fed8fd24b42">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c6043d7efdf04c6f">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7c6b7ef0c5c145b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f042382e5764c75">
              <w:r>
                <w:rPr>
                  <w:rStyle w:val="Hyperlink"/>
                </w:rPr>
                <w:t xml:space="preserve">National Healthcare Agreement: PI 62-Hospitalisation for injury and poisoning, 2012</w:t>
              </w:r>
            </w:hyperlink>
          </w:p>
          <w:p>
            <w:pPr>
              <w:spacing w:before="0" w:after="0"/>
            </w:pPr>
            <w:r>
              <w:rPr>
                <w:rStyle w:val="row-content"/>
                <w:color w:val="244061"/>
              </w:rPr>
              <w:t xml:space="preserve">       </w:t>
            </w:r>
            <w:hyperlink w:history="true" r:id="R26f51d7dbab14dc8">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22ce125ab3a49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11541fbd545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2ce125ab3a49fd" /><Relationship Type="http://schemas.openxmlformats.org/officeDocument/2006/relationships/header" Target="/word/header1.xml" Id="R4b9806d9a47c4e8e" /><Relationship Type="http://schemas.openxmlformats.org/officeDocument/2006/relationships/settings" Target="/word/settings.xml" Id="Ra6234339343046d7" /><Relationship Type="http://schemas.openxmlformats.org/officeDocument/2006/relationships/styles" Target="/word/styles.xml" Id="R77bf612fd7424ac4" /><Relationship Type="http://schemas.openxmlformats.org/officeDocument/2006/relationships/hyperlink" Target="https://meteor.aihw.gov.au/RegistrationAuthority/6" TargetMode="External" Id="Rddd384cc783940da" /><Relationship Type="http://schemas.openxmlformats.org/officeDocument/2006/relationships/hyperlink" Target="https://meteor.aihw.gov.au/content/438475" TargetMode="External" Id="Ra489c2574afc490b" /><Relationship Type="http://schemas.openxmlformats.org/officeDocument/2006/relationships/hyperlink" Target="https://meteor.aihw.gov.au/RegistrationAuthority/6" TargetMode="External" Id="R4a36932a3ea44994" /><Relationship Type="http://schemas.openxmlformats.org/officeDocument/2006/relationships/hyperlink" Target="https://meteor.aihw.gov.au/content/396115" TargetMode="External" Id="Rb214541f9a4c4a20" /><Relationship Type="http://schemas.openxmlformats.org/officeDocument/2006/relationships/hyperlink" Target="https://meteor.aihw.gov.au/RegistrationAuthority/6" TargetMode="External" Id="R397ac8eedd874f5d" /><Relationship Type="http://schemas.openxmlformats.org/officeDocument/2006/relationships/hyperlink" Target="https://meteor.aihw.gov.au/content/480261" TargetMode="External" Id="R9fa6c3126952421a" /><Relationship Type="http://schemas.openxmlformats.org/officeDocument/2006/relationships/hyperlink" Target="https://meteor.aihw.gov.au/RegistrationAuthority/6" TargetMode="External" Id="R5b6f1e5ac2df40f4" /><Relationship Type="http://schemas.openxmlformats.org/officeDocument/2006/relationships/numbering" Target="/word/numbering.xml" Id="Rafb7b1f3fe164af7" /><Relationship Type="http://schemas.openxmlformats.org/officeDocument/2006/relationships/hyperlink" Target="https://meteor.aihw.gov.au/content/269967" TargetMode="External" Id="R6336e06fc28f4926" /><Relationship Type="http://schemas.openxmlformats.org/officeDocument/2006/relationships/hyperlink" Target="https://meteor.aihw.gov.au/content/394352" TargetMode="External" Id="R9befea9ca16540bd" /><Relationship Type="http://schemas.openxmlformats.org/officeDocument/2006/relationships/hyperlink" Target="https://meteor.aihw.gov.au/content/374205" TargetMode="External" Id="Rbc90625feda14dce" /><Relationship Type="http://schemas.openxmlformats.org/officeDocument/2006/relationships/hyperlink" Target="https://meteor.aihw.gov.au/content/270025" TargetMode="External" Id="R7363527871ea4c2c" /><Relationship Type="http://schemas.openxmlformats.org/officeDocument/2006/relationships/hyperlink" Target="https://meteor.aihw.gov.au/content/394352" TargetMode="External" Id="R46e1fff6352a4b21" /><Relationship Type="http://schemas.openxmlformats.org/officeDocument/2006/relationships/hyperlink" Target="https://meteor.aihw.gov.au/content/374205" TargetMode="External" Id="R0a1cf7677fc643d2" /><Relationship Type="http://schemas.openxmlformats.org/officeDocument/2006/relationships/hyperlink" Target="https://meteor.aihw.gov.au/content/388656" TargetMode="External" Id="R77548abd09d6412c" /><Relationship Type="http://schemas.openxmlformats.org/officeDocument/2006/relationships/hyperlink" Target="https://meteor.aihw.gov.au/content/393625" TargetMode="External" Id="R7e7c8dc555fd48ae" /><Relationship Type="http://schemas.openxmlformats.org/officeDocument/2006/relationships/hyperlink" Target="https://meteor.aihw.gov.au/content/388656" TargetMode="External" Id="R5ccbb5c58a9f4553" /><Relationship Type="http://schemas.openxmlformats.org/officeDocument/2006/relationships/hyperlink" Target="https://meteor.aihw.gov.au/content/394092" TargetMode="External" Id="Rb0ced5b13b274366" /><Relationship Type="http://schemas.openxmlformats.org/officeDocument/2006/relationships/hyperlink" Target="https://meteor.aihw.gov.au/content/287316" TargetMode="External" Id="R1b41c918dc544f43" /><Relationship Type="http://schemas.openxmlformats.org/officeDocument/2006/relationships/hyperlink" Target="https://meteor.aihw.gov.au/content/394352" TargetMode="External" Id="Ra67045dd35144db2" /><Relationship Type="http://schemas.openxmlformats.org/officeDocument/2006/relationships/hyperlink" Target="https://meteor.aihw.gov.au/content/374205" TargetMode="External" Id="Re89c70d54628434f" /><Relationship Type="http://schemas.openxmlformats.org/officeDocument/2006/relationships/hyperlink" Target="https://meteor.aihw.gov.au/content/291036" TargetMode="External" Id="Rffe8aaac8fa84fb0" /><Relationship Type="http://schemas.openxmlformats.org/officeDocument/2006/relationships/hyperlink" Target="https://meteor.aihw.gov.au/content/394352" TargetMode="External" Id="R4c87057444374cd6" /><Relationship Type="http://schemas.openxmlformats.org/officeDocument/2006/relationships/hyperlink" Target="https://meteor.aihw.gov.au/content/374205" TargetMode="External" Id="R5f34c1b7a97644f5" /><Relationship Type="http://schemas.openxmlformats.org/officeDocument/2006/relationships/hyperlink" Target="https://meteor.aihw.gov.au/content/361034" TargetMode="External" Id="Rcfa61c7e6865415c" /><Relationship Type="http://schemas.openxmlformats.org/officeDocument/2006/relationships/hyperlink" Target="https://meteor.aihw.gov.au/content/394352" TargetMode="External" Id="R802e84b309474518" /><Relationship Type="http://schemas.openxmlformats.org/officeDocument/2006/relationships/hyperlink" Target="https://meteor.aihw.gov.au/content/374205" TargetMode="External" Id="R983e513ff11444bc" /><Relationship Type="http://schemas.openxmlformats.org/officeDocument/2006/relationships/hyperlink" Target="https://meteor.aihw.gov.au/content/377103" TargetMode="External" Id="Raef52848fdc14bef" /><Relationship Type="http://schemas.openxmlformats.org/officeDocument/2006/relationships/hyperlink" Target="https://meteor.aihw.gov.au/content/394352" TargetMode="External" Id="Re3dfbbc7e4e845bc" /><Relationship Type="http://schemas.openxmlformats.org/officeDocument/2006/relationships/hyperlink" Target="https://meteor.aihw.gov.au/content/374205" TargetMode="External" Id="Re5be8b0a968e4a89" /><Relationship Type="http://schemas.openxmlformats.org/officeDocument/2006/relationships/hyperlink" Target="https://meteor.aihw.gov.au/content/410650" TargetMode="External" Id="R12e6f1951d2d4b9b" /><Relationship Type="http://schemas.openxmlformats.org/officeDocument/2006/relationships/hyperlink" Target="https://meteor.aihw.gov.au/content/393625" TargetMode="External" Id="Ra5820b3d8d6a440a" /><Relationship Type="http://schemas.openxmlformats.org/officeDocument/2006/relationships/hyperlink" Target="https://meteor.aihw.gov.au/content/449216" TargetMode="External" Id="R416294ca7d564bf1" /><Relationship Type="http://schemas.openxmlformats.org/officeDocument/2006/relationships/hyperlink" Target="https://meteor.aihw.gov.au/content/394352" TargetMode="External" Id="R99b74d91af184d74" /><Relationship Type="http://schemas.openxmlformats.org/officeDocument/2006/relationships/hyperlink" Target="https://meteor.aihw.gov.au/content/394092" TargetMode="External" Id="R576d7488e799435c" /><Relationship Type="http://schemas.openxmlformats.org/officeDocument/2006/relationships/hyperlink" Target="https://meteor.aihw.gov.au/content/449223" TargetMode="External" Id="R5a8526ffbdf446f4" /><Relationship Type="http://schemas.openxmlformats.org/officeDocument/2006/relationships/hyperlink" Target="https://meteor.aihw.gov.au/content/410271" TargetMode="External" Id="R90f10af5791c414d" /><Relationship Type="http://schemas.openxmlformats.org/officeDocument/2006/relationships/hyperlink" Target="https://meteor.aihw.gov.au/content/425741" TargetMode="External" Id="Rcf5c90de2b3b4f67" /><Relationship Type="http://schemas.openxmlformats.org/officeDocument/2006/relationships/hyperlink" Target="https://meteor.aihw.gov.au/RegistrationAuthority/6" TargetMode="External" Id="R14db3fed8fd24b42" /><Relationship Type="http://schemas.openxmlformats.org/officeDocument/2006/relationships/hyperlink" Target="https://meteor.aihw.gov.au/content/443687" TargetMode="External" Id="Rc6043d7efdf04c6f" /><Relationship Type="http://schemas.openxmlformats.org/officeDocument/2006/relationships/hyperlink" Target="https://meteor.aihw.gov.au/RegistrationAuthority/12" TargetMode="External" Id="R7c6b7ef0c5c145b9" /><Relationship Type="http://schemas.openxmlformats.org/officeDocument/2006/relationships/hyperlink" Target="https://meteor.aihw.gov.au/content/435901" TargetMode="External" Id="R6f042382e5764c75" /><Relationship Type="http://schemas.openxmlformats.org/officeDocument/2006/relationships/hyperlink" Target="https://meteor.aihw.gov.au/RegistrationAuthority/12" TargetMode="External" Id="R26f51d7dbab14dc8" /></Relationships>
</file>

<file path=word/_rels/header1.xml.rels>&#65279;<?xml version="1.0" encoding="utf-8"?><Relationships xmlns="http://schemas.openxmlformats.org/package/2006/relationships"><Relationship Type="http://schemas.openxmlformats.org/officeDocument/2006/relationships/image" Target="/media/image.png" Id="R97511541fbd545af" /></Relationships>
</file>