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ed9187770f64c77"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PI04b-Proportion of Indigenous children who are fully immunised,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PI04b-Proportion of Indigenous children who are fully immunised,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PI04b-Proportion of Indigenous children who are fully immunised,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a1abe302954b51">
              <w:r>
                <w:rPr>
                  <w:rStyle w:val="Hyperlink"/>
                  <w:color w:val="244061"/>
                </w:rPr>
                <w:t xml:space="preserve">Health</w:t>
              </w:r>
            </w:hyperlink>
            <w:r>
              <w:rPr>
                <w:rStyle w:val="row-content"/>
                <w:color w:val="244061"/>
              </w:rPr>
              <w:t xml:space="preserve">, Superseded 21/11/2013</w:t>
            </w:r>
          </w:p>
          <w:p>
            <w:pPr>
              <w:spacing w:before="0" w:after="0"/>
            </w:pPr>
            <w:hyperlink w:history="true" r:id="R449009c2df2942eb">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children who are regular clients, aged:</w:t>
            </w:r>
          </w:p>
          <w:p>
            <w:pPr>
              <w:pStyle w:val="ListParagraph"/>
              <w:numPr>
                <w:ilvl w:val="0"/>
                <w:numId w:val="2"/>
              </w:numPr>
            </w:pPr>
            <w:r>
              <w:rPr>
                <w:rStyle w:val="row-content-rich-text"/>
              </w:rPr>
              <w:t xml:space="preserve">12 months to less than 24 months;</w:t>
            </w:r>
          </w:p>
          <w:p>
            <w:pPr>
              <w:pStyle w:val="ListParagraph"/>
              <w:numPr>
                <w:ilvl w:val="0"/>
                <w:numId w:val="2"/>
              </w:numPr>
            </w:pPr>
            <w:r>
              <w:rPr>
                <w:rStyle w:val="row-content-rich-text"/>
              </w:rPr>
              <w:t xml:space="preserve">24 months to less than 36 months;</w:t>
            </w:r>
          </w:p>
          <w:p>
            <w:pPr>
              <w:pStyle w:val="ListParagraph"/>
              <w:numPr>
                <w:ilvl w:val="0"/>
                <w:numId w:val="2"/>
              </w:numPr>
            </w:pPr>
            <w:r>
              <w:rPr>
                <w:rStyle w:val="row-content-rich-text"/>
              </w:rPr>
              <w:t xml:space="preserve">60 months to less than 72 months; </w:t>
            </w:r>
          </w:p>
          <w:p>
            <w:pPr/>
            <w:r>
              <w:rPr>
                <w:rStyle w:val="row-content-rich-text"/>
              </w:rPr>
              <w:t xml:space="preserve">and who are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Immunisation is highly effective in reducing morbidity and mortality caused by vaccine-preventable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9dea29d3783446a">
              <w:r>
                <w:rPr>
                  <w:rStyle w:val="Hyperlink"/>
                </w:rPr>
                <w:t xml:space="preserve">Indigenous primary health care key performance indicators (2013)</w:t>
              </w:r>
            </w:hyperlink>
          </w:p>
          <w:p>
            <w:pPr>
              <w:spacing w:before="0" w:after="0"/>
            </w:pPr>
            <w:r>
              <w:rPr>
                <w:rStyle w:val="row-content"/>
                <w:color w:val="244061"/>
              </w:rPr>
              <w:t xml:space="preserve">       </w:t>
            </w:r>
            <w:hyperlink w:history="true" r:id="R6a4945716ee1454b">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32a4f78d15a74924">
              <w:r>
                <w:rPr>
                  <w:rStyle w:val="Hyperlink"/>
                  <w:color w:val="244061"/>
                </w:rPr>
                <w:t xml:space="preserve">Indigenous</w:t>
              </w:r>
            </w:hyperlink>
            <w:r>
              <w:rPr>
                <w:rStyle w:val="row-content"/>
                <w:color w:val="244061"/>
              </w:rPr>
              <w:t xml:space="preserve">, Superseded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children who are regular clients, aged:</w:t>
            </w:r>
          </w:p>
          <w:p>
            <w:pPr>
              <w:pStyle w:val="ListParagraph"/>
              <w:numPr>
                <w:ilvl w:val="0"/>
                <w:numId w:val="3"/>
              </w:numPr>
            </w:pPr>
            <w:r>
              <w:rPr>
                <w:rStyle w:val="row-content-rich-text"/>
              </w:rPr>
              <w:t xml:space="preserve">12 months to less than 24 months;</w:t>
            </w:r>
          </w:p>
          <w:p>
            <w:pPr>
              <w:pStyle w:val="ListParagraph"/>
              <w:numPr>
                <w:ilvl w:val="0"/>
                <w:numId w:val="3"/>
              </w:numPr>
            </w:pPr>
            <w:r>
              <w:rPr>
                <w:rStyle w:val="row-content-rich-text"/>
              </w:rPr>
              <w:t xml:space="preserve">24 months to less than 36 months;</w:t>
            </w:r>
          </w:p>
          <w:p>
            <w:pPr>
              <w:pStyle w:val="ListParagraph"/>
              <w:numPr>
                <w:ilvl w:val="0"/>
                <w:numId w:val="3"/>
              </w:numPr>
            </w:pPr>
            <w:r>
              <w:rPr>
                <w:rStyle w:val="row-content-rich-text"/>
              </w:rPr>
              <w:t xml:space="preserve">60 months to less than 72 months;</w:t>
            </w:r>
          </w:p>
          <w:p>
            <w:pPr>
              <w:spacing w:after="160"/>
            </w:pPr>
            <w:r>
              <w:rPr>
                <w:rStyle w:val="row-content-rich-text"/>
              </w:rPr>
              <w:t xml:space="preserve">and who are 'fully immunised'.</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Presented as a percentage.</w:t>
            </w:r>
          </w:p>
          <w:p>
            <w:pPr>
              <w:spacing w:after="160"/>
            </w:pPr>
            <w:r>
              <w:rPr>
                <w:rStyle w:val="row-content-rich-text"/>
              </w:rPr>
              <w:t xml:space="preserve">This indicator is calculated separately for each age milestone.</w:t>
            </w:r>
          </w:p>
          <w:p>
            <w:pPr>
              <w:spacing w:after="160"/>
            </w:pPr>
            <w:r>
              <w:rPr>
                <w:rStyle w:val="row-content-rich-text"/>
              </w:rPr>
              <w:t xml:space="preserve">'Fully immunised' status is determined in accordance with the National Immunisation Program Schedule. The childhood vaccinations essential to be considered 'fully immunised' include: </w:t>
            </w:r>
          </w:p>
          <w:p>
            <w:pPr>
              <w:pStyle w:val="ListParagraph"/>
              <w:numPr>
                <w:ilvl w:val="0"/>
                <w:numId w:val="4"/>
              </w:numPr>
            </w:pPr>
            <w:r>
              <w:rPr>
                <w:rStyle w:val="row-content-rich-text"/>
              </w:rPr>
              <w:t xml:space="preserve">DTPa (diphtheria, tetanus, pertussis)</w:t>
            </w:r>
          </w:p>
          <w:p>
            <w:pPr>
              <w:pStyle w:val="ListParagraph"/>
              <w:numPr>
                <w:ilvl w:val="0"/>
                <w:numId w:val="4"/>
              </w:numPr>
            </w:pPr>
            <w:r>
              <w:rPr>
                <w:rStyle w:val="row-content-rich-text"/>
              </w:rPr>
              <w:t xml:space="preserve">HiB (haemophilus influenzae type B)</w:t>
            </w:r>
          </w:p>
          <w:p>
            <w:pPr>
              <w:pStyle w:val="ListParagraph"/>
              <w:numPr>
                <w:ilvl w:val="0"/>
                <w:numId w:val="4"/>
              </w:numPr>
            </w:pPr>
            <w:r>
              <w:rPr>
                <w:rStyle w:val="row-content-rich-text"/>
              </w:rPr>
              <w:t xml:space="preserve">Polio</w:t>
            </w:r>
          </w:p>
          <w:p>
            <w:pPr>
              <w:pStyle w:val="ListParagraph"/>
              <w:numPr>
                <w:ilvl w:val="0"/>
                <w:numId w:val="4"/>
              </w:numPr>
            </w:pPr>
            <w:r>
              <w:rPr>
                <w:rStyle w:val="row-content-rich-text"/>
              </w:rPr>
              <w:t xml:space="preserve">Hep B (hepatitis B)</w:t>
            </w:r>
          </w:p>
          <w:p>
            <w:pPr>
              <w:pStyle w:val="ListParagraph"/>
              <w:numPr>
                <w:ilvl w:val="0"/>
                <w:numId w:val="4"/>
              </w:numPr>
            </w:pPr>
            <w:r>
              <w:rPr>
                <w:rStyle w:val="row-content-rich-text"/>
              </w:rPr>
              <w:t xml:space="preserve">MMR (measles, mumps, rubella). </w:t>
            </w:r>
          </w:p>
          <w:p>
            <w:pPr>
              <w:spacing w:after="160"/>
            </w:pPr>
            <w:r>
              <w:rPr>
                <w:rStyle w:val="row-content-rich-text"/>
              </w:rPr>
              <w:t xml:space="preserve">A child is considered 'fully immunised' if they have received the following vaccinations by the specified age milestones:</w:t>
            </w:r>
          </w:p>
          <w:p>
            <w:pPr>
              <w:pStyle w:val="ListParagraph"/>
              <w:numPr>
                <w:ilvl w:val="0"/>
                <w:numId w:val="5"/>
              </w:numPr>
            </w:pPr>
            <w:r>
              <w:rPr>
                <w:rStyle w:val="row-content-rich-text"/>
              </w:rPr>
              <w:t xml:space="preserve">At 12 months: 3 doses DTPa; 3 doses Polio; 2 or 3 doses HiB; 2 or 3 doses Hep B</w:t>
            </w:r>
          </w:p>
          <w:p>
            <w:pPr>
              <w:pStyle w:val="ListParagraph"/>
              <w:numPr>
                <w:ilvl w:val="0"/>
                <w:numId w:val="5"/>
              </w:numPr>
            </w:pPr>
            <w:r>
              <w:rPr>
                <w:rStyle w:val="row-content-rich-text"/>
              </w:rPr>
              <w:t xml:space="preserve">At 24 months: 3 doses DTPa; 3 doses Polio; 3 or 4 doses HiB; 3 doses Hep B; 1 dose MMR</w:t>
            </w:r>
          </w:p>
          <w:p>
            <w:pPr>
              <w:pStyle w:val="ListParagraph"/>
              <w:numPr>
                <w:ilvl w:val="0"/>
                <w:numId w:val="5"/>
              </w:numPr>
            </w:pPr>
            <w:r>
              <w:rPr>
                <w:rStyle w:val="row-content-rich-text"/>
              </w:rPr>
              <w:t xml:space="preserve">At 60 months: 4 doses DTPa; 4 doses Polio; 2 doses MMR.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children who are regular clients, aged 12 months to less than 24 months and who are 'fully immunised'.</w:t>
            </w:r>
          </w:p>
          <w:p>
            <w:pPr>
              <w:spacing w:after="160"/>
            </w:pPr>
            <w:r>
              <w:rPr>
                <w:rStyle w:val="row-content-rich-text"/>
              </w:rPr>
              <w:t xml:space="preserve">Calculation B: Number of Indigenous children who are regular clients, aged 24 months to less than 36 months and who are 'fully immunised'.</w:t>
            </w:r>
          </w:p>
          <w:p>
            <w:pPr/>
            <w:r>
              <w:rPr>
                <w:rStyle w:val="row-content-rich-text"/>
              </w:rPr>
              <w:t xml:space="preserve">Calculation C: Number of Indigenous children who are regular clients, aged 60 months to less than 72 months and who are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c45d4e80fd34fc1">
              <w:r>
                <w:rPr>
                  <w:rStyle w:val="Hyperlink"/>
                </w:rPr>
                <w:t xml:space="preserve">Person—Indigenous status, code N</w:t>
              </w:r>
            </w:hyperlink>
          </w:p>
          <w:p>
            <w:r>
              <w:rPr>
                <w:rStyle w:val="row-content"/>
                <w:b/>
              </w:rPr>
              <w:t xml:space="preserve">Data Source</w:t>
            </w:r>
          </w:p>
          <w:p>
            <w:hyperlink w:history="true" r:id="Rbfbb885dfb9146b1">
              <w:r>
                <w:rPr>
                  <w:rStyle w:val="Hyperlink"/>
                </w:rPr>
                <w:t xml:space="preserve">Indigenous primary health care data collection</w:t>
              </w:r>
            </w:hyperlink>
          </w:p>
          <w:p>
            <w:r>
              <w:rPr>
                <w:rStyle w:val="row-content"/>
                <w:b/>
              </w:rPr>
              <w:t xml:space="preserve">NMDS / DSS</w:t>
            </w:r>
          </w:p>
          <w:p>
            <w:hyperlink w:history="true" r:id="Rd28f61fa67014d6a">
              <w:r>
                <w:rPr>
                  <w:rStyle w:val="Hyperlink"/>
                </w:rPr>
                <w:t xml:space="preserve">Indigenous primary health care DSS 2012-14</w:t>
              </w:r>
            </w:hyperlink>
          </w:p>
          <w:p>
            <w:r>
              <w:rPr>
                <w:rStyle w:val="row-content"/>
                <w:b/>
                <w:color w:val="000000"/>
              </w:rPr>
              <w:t xml:space="preserve">Data Element / Data Set</w:t>
            </w:r>
          </w:p>
          <w:p>
            <w:hyperlink w:history="true" r:id="R8f0e55ab8f864ce7">
              <w:r>
                <w:rPr>
                  <w:rStyle w:val="Hyperlink"/>
                </w:rPr>
                <w:t xml:space="preserve">Person—age, total years N[NN]</w:t>
              </w:r>
            </w:hyperlink>
          </w:p>
          <w:p>
            <w:r>
              <w:rPr>
                <w:rStyle w:val="row-content"/>
                <w:b/>
              </w:rPr>
              <w:t xml:space="preserve">Data Source</w:t>
            </w:r>
          </w:p>
          <w:p>
            <w:hyperlink w:history="true" r:id="R1984151a86494fe9">
              <w:r>
                <w:rPr>
                  <w:rStyle w:val="Hyperlink"/>
                </w:rPr>
                <w:t xml:space="preserve">Indigenous primary health care data collection</w:t>
              </w:r>
            </w:hyperlink>
          </w:p>
          <w:p>
            <w:r>
              <w:rPr>
                <w:rStyle w:val="row-content"/>
                <w:b/>
              </w:rPr>
              <w:t xml:space="preserve">NMDS / DSS</w:t>
            </w:r>
          </w:p>
          <w:p>
            <w:hyperlink w:history="true" r:id="R0746903b29e04138">
              <w:r>
                <w:rPr>
                  <w:rStyle w:val="Hyperlink"/>
                </w:rPr>
                <w:t xml:space="preserve">Indigenous primary health care DSS 2012-14</w:t>
              </w:r>
            </w:hyperlink>
          </w:p>
          <w:p>
            <w:r>
              <w:rPr>
                <w:rStyle w:val="row-content"/>
                <w:b/>
                <w:color w:val="000000"/>
              </w:rPr>
              <w:t xml:space="preserve">Data Element / Data Set</w:t>
            </w:r>
          </w:p>
          <w:p>
            <w:hyperlink w:history="true" r:id="R2b92fe8d4dd5440a">
              <w:r>
                <w:rPr>
                  <w:rStyle w:val="Hyperlink"/>
                </w:rPr>
                <w:t xml:space="preserve">Person—regular client indicator, yes/no code N</w:t>
              </w:r>
            </w:hyperlink>
          </w:p>
          <w:p>
            <w:r>
              <w:rPr>
                <w:rStyle w:val="row-content"/>
                <w:b/>
              </w:rPr>
              <w:t xml:space="preserve">Data Source</w:t>
            </w:r>
          </w:p>
          <w:p>
            <w:hyperlink w:history="true" r:id="R95cc68998ed04635">
              <w:r>
                <w:rPr>
                  <w:rStyle w:val="Hyperlink"/>
                </w:rPr>
                <w:t xml:space="preserve">Indigenous primary health care data collection</w:t>
              </w:r>
            </w:hyperlink>
          </w:p>
          <w:p>
            <w:r>
              <w:rPr>
                <w:rStyle w:val="row-content"/>
                <w:b/>
              </w:rPr>
              <w:t xml:space="preserve">NMDS / DSS</w:t>
            </w:r>
          </w:p>
          <w:p>
            <w:hyperlink w:history="true" r:id="Rf3ab97b0f1c64fe2">
              <w:r>
                <w:rPr>
                  <w:rStyle w:val="Hyperlink"/>
                </w:rPr>
                <w:t xml:space="preserve">Indigenous primary health care DSS 2012-14</w:t>
              </w:r>
            </w:hyperlink>
          </w:p>
          <w:p>
            <w:r>
              <w:rPr>
                <w:rStyle w:val="row-content"/>
                <w:b/>
                <w:color w:val="000000"/>
              </w:rPr>
              <w:t xml:space="preserve">Data Element / Data Set</w:t>
            </w:r>
          </w:p>
          <w:p>
            <w:hyperlink w:history="true" r:id="R697b7aa252314a46">
              <w:r>
                <w:rPr>
                  <w:rStyle w:val="Hyperlink"/>
                </w:rPr>
                <w:t xml:space="preserve">Child—fully immunised recorded indicator, yes/no code N</w:t>
              </w:r>
            </w:hyperlink>
          </w:p>
          <w:p>
            <w:r>
              <w:rPr>
                <w:rStyle w:val="row-content"/>
                <w:b/>
              </w:rPr>
              <w:t xml:space="preserve">Data Source</w:t>
            </w:r>
          </w:p>
          <w:p>
            <w:hyperlink w:history="true" r:id="Ref0242ae524c4176">
              <w:r>
                <w:rPr>
                  <w:rStyle w:val="Hyperlink"/>
                </w:rPr>
                <w:t xml:space="preserve">Indigenous primary health care data collection</w:t>
              </w:r>
            </w:hyperlink>
          </w:p>
          <w:p>
            <w:r>
              <w:rPr>
                <w:rStyle w:val="row-content"/>
                <w:b/>
              </w:rPr>
              <w:t xml:space="preserve">NMDS / DSS</w:t>
            </w:r>
          </w:p>
          <w:p>
            <w:hyperlink w:history="true" r:id="Rba2226c711894cd2">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Total number of Indigenous children who are regular clients and aged 12 months to less than 24 months.</w:t>
            </w:r>
          </w:p>
          <w:p>
            <w:pPr>
              <w:spacing w:after="160"/>
            </w:pPr>
            <w:r>
              <w:rPr>
                <w:rStyle w:val="row-content-rich-text"/>
              </w:rPr>
              <w:t xml:space="preserve">Calculation B: Total number of Indigenous children who are regular clients and aged 24 months to less than 36 months.</w:t>
            </w:r>
          </w:p>
          <w:p>
            <w:pPr/>
            <w:r>
              <w:rPr>
                <w:rStyle w:val="row-content-rich-text"/>
              </w:rPr>
              <w:t xml:space="preserve">Calculation C: Total number of Indigenous children who are regular clients and aged 60 months to less than 72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9b6b6d021814c85">
              <w:r>
                <w:rPr>
                  <w:rStyle w:val="Hyperlink"/>
                </w:rPr>
                <w:t xml:space="preserve">Person—Indigenous status, code N</w:t>
              </w:r>
            </w:hyperlink>
          </w:p>
          <w:p>
            <w:r>
              <w:rPr>
                <w:rStyle w:val="row-content"/>
                <w:b/>
              </w:rPr>
              <w:t xml:space="preserve">Data Source</w:t>
            </w:r>
          </w:p>
          <w:p>
            <w:hyperlink w:history="true" r:id="Rce9be4d333c7454c">
              <w:r>
                <w:rPr>
                  <w:rStyle w:val="Hyperlink"/>
                </w:rPr>
                <w:t xml:space="preserve">Indigenous primary health care data collection</w:t>
              </w:r>
            </w:hyperlink>
          </w:p>
          <w:p>
            <w:r>
              <w:rPr>
                <w:rStyle w:val="row-content"/>
                <w:b/>
              </w:rPr>
              <w:t xml:space="preserve">NMDS / DSS</w:t>
            </w:r>
          </w:p>
          <w:p>
            <w:hyperlink w:history="true" r:id="R05ded63fa18e42c1">
              <w:r>
                <w:rPr>
                  <w:rStyle w:val="Hyperlink"/>
                </w:rPr>
                <w:t xml:space="preserve">Indigenous primary health care DSS 2012-14</w:t>
              </w:r>
            </w:hyperlink>
          </w:p>
          <w:p>
            <w:r>
              <w:rPr>
                <w:rStyle w:val="row-content"/>
                <w:b/>
                <w:color w:val="000000"/>
              </w:rPr>
              <w:t xml:space="preserve">Data Element / Data Set</w:t>
            </w:r>
          </w:p>
          <w:p>
            <w:hyperlink w:history="true" r:id="R34836549ceaf451b">
              <w:r>
                <w:rPr>
                  <w:rStyle w:val="Hyperlink"/>
                </w:rPr>
                <w:t xml:space="preserve">Person—age, total years N[NN]</w:t>
              </w:r>
            </w:hyperlink>
          </w:p>
          <w:p>
            <w:r>
              <w:rPr>
                <w:rStyle w:val="row-content"/>
                <w:b/>
              </w:rPr>
              <w:t xml:space="preserve">Data Source</w:t>
            </w:r>
          </w:p>
          <w:p>
            <w:hyperlink w:history="true" r:id="R685c8ec877814188">
              <w:r>
                <w:rPr>
                  <w:rStyle w:val="Hyperlink"/>
                </w:rPr>
                <w:t xml:space="preserve">Indigenous primary health care data collection</w:t>
              </w:r>
            </w:hyperlink>
          </w:p>
          <w:p>
            <w:r>
              <w:rPr>
                <w:rStyle w:val="row-content"/>
                <w:b/>
              </w:rPr>
              <w:t xml:space="preserve">NMDS / DSS</w:t>
            </w:r>
          </w:p>
          <w:p>
            <w:hyperlink w:history="true" r:id="Re35d575f88a147a5">
              <w:r>
                <w:rPr>
                  <w:rStyle w:val="Hyperlink"/>
                </w:rPr>
                <w:t xml:space="preserve">Indigenous primary health care DSS 2012-14</w:t>
              </w:r>
            </w:hyperlink>
          </w:p>
          <w:p>
            <w:r>
              <w:rPr>
                <w:rStyle w:val="row-content"/>
                <w:b/>
                <w:color w:val="000000"/>
              </w:rPr>
              <w:t xml:space="preserve">Data Element / Data Set</w:t>
            </w:r>
          </w:p>
          <w:p>
            <w:hyperlink w:history="true" r:id="Rc21a01f651c64fbb">
              <w:r>
                <w:rPr>
                  <w:rStyle w:val="Hyperlink"/>
                </w:rPr>
                <w:t xml:space="preserve">Person—regular client indicator, yes/no code N</w:t>
              </w:r>
            </w:hyperlink>
          </w:p>
          <w:p>
            <w:r>
              <w:rPr>
                <w:rStyle w:val="row-content"/>
                <w:b/>
              </w:rPr>
              <w:t xml:space="preserve">Data Source</w:t>
            </w:r>
          </w:p>
          <w:p>
            <w:hyperlink w:history="true" r:id="R25cff6ba06244961">
              <w:r>
                <w:rPr>
                  <w:rStyle w:val="Hyperlink"/>
                </w:rPr>
                <w:t xml:space="preserve">Indigenous primary health care data collection</w:t>
              </w:r>
            </w:hyperlink>
          </w:p>
          <w:p>
            <w:r>
              <w:rPr>
                <w:rStyle w:val="row-content"/>
                <w:b/>
              </w:rPr>
              <w:t xml:space="preserve">NMDS / DSS</w:t>
            </w:r>
          </w:p>
          <w:p>
            <w:hyperlink w:history="true" r:id="R6fd7504c57de41e1">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645a8fff70c4a6c">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b42b5180ddc42fb">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and Ageing 2011. National Immunisation Program Schedule, Immunise Australia Program. Department of Health and Ageing, Canberra. Viewed 25 July 2011:</w:t>
            </w:r>
          </w:p>
          <w:p>
            <w:hyperlink w:history="true" r:id="Rcb9083a00d374f74">
              <w:r>
                <w:rPr>
                  <w:rStyle w:val="Hyperlink"/>
                </w:rPr>
                <w:t xml:space="preserve">http://www.health.gov.au/internet/immunise/publishing.nsf/content/nips2</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e5e9bca9de9452f">
              <w:r>
                <w:rPr>
                  <w:rStyle w:val="Hyperlink"/>
                </w:rPr>
                <w:t xml:space="preserve">Indigenous primary health care: PI04b-Proportion of Indigenous children who are fully immunised, 2014</w:t>
              </w:r>
            </w:hyperlink>
          </w:p>
          <w:p>
            <w:pPr>
              <w:spacing w:before="0" w:after="0"/>
            </w:pPr>
            <w:r>
              <w:rPr>
                <w:rStyle w:val="row-content"/>
                <w:color w:val="244061"/>
              </w:rPr>
              <w:t xml:space="preserve">       </w:t>
            </w:r>
            <w:hyperlink w:history="true" r:id="R6bc44ff7b72e4e04">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dcaf7a9376074429">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666d3f7bc37243b3">
              <w:r>
                <w:rPr>
                  <w:rStyle w:val="Hyperlink"/>
                </w:rPr>
                <w:t xml:space="preserve">Indigenous primary health care: PI04a-Number of Indigenous children who are fully immunised, 2013</w:t>
              </w:r>
            </w:hyperlink>
          </w:p>
          <w:p>
            <w:pPr>
              <w:spacing w:before="0" w:after="0"/>
            </w:pPr>
            <w:r>
              <w:rPr>
                <w:rStyle w:val="row-content"/>
                <w:color w:val="244061"/>
              </w:rPr>
              <w:t xml:space="preserve">       </w:t>
            </w:r>
            <w:hyperlink w:history="true" r:id="R179a6ad12ec144d7">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1dd08eeb1b6d4e8f">
              <w:r>
                <w:rPr>
                  <w:rStyle w:val="Hyperlink"/>
                  <w:color w:val="244061"/>
                </w:rPr>
                <w:t xml:space="preserve">Indigenous</w:t>
              </w:r>
            </w:hyperlink>
            <w:r>
              <w:rPr>
                <w:rStyle w:val="row-content"/>
                <w:color w:val="244061"/>
              </w:rPr>
              <w:t xml:space="preserve">, Superseded 21/11/2013</w:t>
            </w:r>
          </w:p>
          <w:p>
            <w:r>
              <w:br/>
            </w:r>
          </w:p>
        </w:tc>
      </w:tr>
    </w:tbl>
    <w:p>
      <w:r>
        <w:br/>
      </w:r>
    </w:p>
    <w:sectPr>
      <w:footerReference xmlns:r="http://schemas.openxmlformats.org/officeDocument/2006/relationships" w:type="default" r:id="R45b0e248e8e341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438003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34a094b98e43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b0e248e8e341f9" /><Relationship Type="http://schemas.openxmlformats.org/officeDocument/2006/relationships/header" Target="/word/header1.xml" Id="R0a8e186dcaab4ac7" /><Relationship Type="http://schemas.openxmlformats.org/officeDocument/2006/relationships/settings" Target="/word/settings.xml" Id="Rd0caeab37cdd4ff5" /><Relationship Type="http://schemas.openxmlformats.org/officeDocument/2006/relationships/styles" Target="/word/styles.xml" Id="Recd01699dfd6443c" /><Relationship Type="http://schemas.openxmlformats.org/officeDocument/2006/relationships/hyperlink" Target="https://meteor.aihw.gov.au/RegistrationAuthority/12" TargetMode="External" Id="R9aa1abe302954b51" /><Relationship Type="http://schemas.openxmlformats.org/officeDocument/2006/relationships/hyperlink" Target="https://meteor.aihw.gov.au/RegistrationAuthority/6" TargetMode="External" Id="R449009c2df2942eb" /><Relationship Type="http://schemas.openxmlformats.org/officeDocument/2006/relationships/numbering" Target="/word/numbering.xml" Id="Recc12b6a51d94fa0" /><Relationship Type="http://schemas.openxmlformats.org/officeDocument/2006/relationships/hyperlink" Target="https://meteor.aihw.gov.au/content/457994" TargetMode="External" Id="Re9dea29d3783446a" /><Relationship Type="http://schemas.openxmlformats.org/officeDocument/2006/relationships/hyperlink" Target="https://meteor.aihw.gov.au/RegistrationAuthority/12" TargetMode="External" Id="R6a4945716ee1454b" /><Relationship Type="http://schemas.openxmlformats.org/officeDocument/2006/relationships/hyperlink" Target="https://meteor.aihw.gov.au/RegistrationAuthority/6" TargetMode="External" Id="R32a4f78d15a74924" /><Relationship Type="http://schemas.openxmlformats.org/officeDocument/2006/relationships/hyperlink" Target="https://meteor.aihw.gov.au/content/291036" TargetMode="External" Id="R4c45d4e80fd34fc1" /><Relationship Type="http://schemas.openxmlformats.org/officeDocument/2006/relationships/hyperlink" Target="https://meteor.aihw.gov.au/content/430643" TargetMode="External" Id="Rbfbb885dfb9146b1" /><Relationship Type="http://schemas.openxmlformats.org/officeDocument/2006/relationships/hyperlink" Target="https://meteor.aihw.gov.au/content/430629" TargetMode="External" Id="Rd28f61fa67014d6a" /><Relationship Type="http://schemas.openxmlformats.org/officeDocument/2006/relationships/hyperlink" Target="https://meteor.aihw.gov.au/content/303794" TargetMode="External" Id="R8f0e55ab8f864ce7" /><Relationship Type="http://schemas.openxmlformats.org/officeDocument/2006/relationships/hyperlink" Target="https://meteor.aihw.gov.au/content/430643" TargetMode="External" Id="R1984151a86494fe9" /><Relationship Type="http://schemas.openxmlformats.org/officeDocument/2006/relationships/hyperlink" Target="https://meteor.aihw.gov.au/content/430629" TargetMode="External" Id="R0746903b29e04138" /><Relationship Type="http://schemas.openxmlformats.org/officeDocument/2006/relationships/hyperlink" Target="https://meteor.aihw.gov.au/content/436639" TargetMode="External" Id="R2b92fe8d4dd5440a" /><Relationship Type="http://schemas.openxmlformats.org/officeDocument/2006/relationships/hyperlink" Target="https://meteor.aihw.gov.au/content/430643" TargetMode="External" Id="R95cc68998ed04635" /><Relationship Type="http://schemas.openxmlformats.org/officeDocument/2006/relationships/hyperlink" Target="https://meteor.aihw.gov.au/content/430629" TargetMode="External" Id="Rf3ab97b0f1c64fe2" /><Relationship Type="http://schemas.openxmlformats.org/officeDocument/2006/relationships/hyperlink" Target="https://meteor.aihw.gov.au/content/457664" TargetMode="External" Id="R697b7aa252314a46" /><Relationship Type="http://schemas.openxmlformats.org/officeDocument/2006/relationships/hyperlink" Target="https://meteor.aihw.gov.au/content/430643" TargetMode="External" Id="Ref0242ae524c4176" /><Relationship Type="http://schemas.openxmlformats.org/officeDocument/2006/relationships/hyperlink" Target="https://meteor.aihw.gov.au/content/430629" TargetMode="External" Id="Rba2226c711894cd2" /><Relationship Type="http://schemas.openxmlformats.org/officeDocument/2006/relationships/hyperlink" Target="https://meteor.aihw.gov.au/content/291036" TargetMode="External" Id="Rd9b6b6d021814c85" /><Relationship Type="http://schemas.openxmlformats.org/officeDocument/2006/relationships/hyperlink" Target="https://meteor.aihw.gov.au/content/430643" TargetMode="External" Id="Rce9be4d333c7454c" /><Relationship Type="http://schemas.openxmlformats.org/officeDocument/2006/relationships/hyperlink" Target="https://meteor.aihw.gov.au/content/430629" TargetMode="External" Id="R05ded63fa18e42c1" /><Relationship Type="http://schemas.openxmlformats.org/officeDocument/2006/relationships/hyperlink" Target="https://meteor.aihw.gov.au/content/303794" TargetMode="External" Id="R34836549ceaf451b" /><Relationship Type="http://schemas.openxmlformats.org/officeDocument/2006/relationships/hyperlink" Target="https://meteor.aihw.gov.au/content/430643" TargetMode="External" Id="R685c8ec877814188" /><Relationship Type="http://schemas.openxmlformats.org/officeDocument/2006/relationships/hyperlink" Target="https://meteor.aihw.gov.au/content/430629" TargetMode="External" Id="Re35d575f88a147a5" /><Relationship Type="http://schemas.openxmlformats.org/officeDocument/2006/relationships/hyperlink" Target="https://meteor.aihw.gov.au/content/436639" TargetMode="External" Id="Rc21a01f651c64fbb" /><Relationship Type="http://schemas.openxmlformats.org/officeDocument/2006/relationships/hyperlink" Target="https://meteor.aihw.gov.au/content/430643" TargetMode="External" Id="R25cff6ba06244961" /><Relationship Type="http://schemas.openxmlformats.org/officeDocument/2006/relationships/hyperlink" Target="https://meteor.aihw.gov.au/content/430629" TargetMode="External" Id="R6fd7504c57de41e1" /><Relationship Type="http://schemas.openxmlformats.org/officeDocument/2006/relationships/hyperlink" Target="https://meteor.aihw.gov.au/content/410681" TargetMode="External" Id="R0645a8fff70c4a6c" /><Relationship Type="http://schemas.openxmlformats.org/officeDocument/2006/relationships/hyperlink" Target="https://meteor.aihw.gov.au/content/430643" TargetMode="External" Id="Rab42b5180ddc42fb" /><Relationship Type="http://schemas.openxmlformats.org/officeDocument/2006/relationships/hyperlink" Target="http://www.health.gov.au/internet/immunise/publishing.nsf/content/nips2" TargetMode="External" Id="Rcb9083a00d374f74" /><Relationship Type="http://schemas.openxmlformats.org/officeDocument/2006/relationships/hyperlink" Target="https://meteor.aihw.gov.au/content/504698" TargetMode="External" Id="R7e5e9bca9de9452f" /><Relationship Type="http://schemas.openxmlformats.org/officeDocument/2006/relationships/hyperlink" Target="https://meteor.aihw.gov.au/RegistrationAuthority/12" TargetMode="External" Id="R6bc44ff7b72e4e04" /><Relationship Type="http://schemas.openxmlformats.org/officeDocument/2006/relationships/hyperlink" Target="https://meteor.aihw.gov.au/RegistrationAuthority/6" TargetMode="External" Id="Rdcaf7a9376074429" /><Relationship Type="http://schemas.openxmlformats.org/officeDocument/2006/relationships/hyperlink" Target="https://meteor.aihw.gov.au/content/437976" TargetMode="External" Id="R666d3f7bc37243b3" /><Relationship Type="http://schemas.openxmlformats.org/officeDocument/2006/relationships/hyperlink" Target="https://meteor.aihw.gov.au/RegistrationAuthority/12" TargetMode="External" Id="R179a6ad12ec144d7" /><Relationship Type="http://schemas.openxmlformats.org/officeDocument/2006/relationships/hyperlink" Target="https://meteor.aihw.gov.au/RegistrationAuthority/6" TargetMode="External" Id="R1dd08eeb1b6d4e8f" /></Relationships>
</file>

<file path=word/_rels/header1.xml.rels>&#65279;<?xml version="1.0" encoding="utf-8"?><Relationships xmlns="http://schemas.openxmlformats.org/package/2006/relationships"><Relationship Type="http://schemas.openxmlformats.org/officeDocument/2006/relationships/image" Target="/media/image.png" Id="Rdb34a094b98e43cc" /></Relationships>
</file>