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e366149d0c43d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54-Aged care assessments completed,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54-Aged care assessments completed,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54-Aged care assessments completed,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82fece7a1d48bd">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aged care assessments completed under the Aged Care Assessment Program (ACAP)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19ddc1c7fb492a">
              <w:r>
                <w:rPr>
                  <w:rStyle w:val="Hyperlink"/>
                </w:rPr>
                <w:t xml:space="preserve">National Healthcare Agreement (2012)</w:t>
              </w:r>
            </w:hyperlink>
          </w:p>
          <w:p>
            <w:pPr>
              <w:spacing w:before="0" w:after="0"/>
            </w:pPr>
            <w:r>
              <w:rPr>
                <w:rStyle w:val="row-content"/>
                <w:color w:val="244061"/>
              </w:rPr>
              <w:t xml:space="preserve">       </w:t>
            </w:r>
            <w:hyperlink w:history="true" r:id="R6148e3bf9591453d">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6c1696a0d2549a0">
              <w:r>
                <w:rPr>
                  <w:rStyle w:val="Hyperlink"/>
                </w:rPr>
                <w:t xml:space="preserve">Aged Care</w:t>
              </w:r>
            </w:hyperlink>
          </w:p>
          <w:p>
            <w:pPr>
              <w:spacing w:before="0" w:after="0"/>
            </w:pPr>
            <w:r>
              <w:rPr>
                <w:rStyle w:val="row-content"/>
                <w:color w:val="244061"/>
              </w:rPr>
              <w:t xml:space="preserve">       </w:t>
            </w:r>
            <w:hyperlink w:history="true" r:id="R8e7bda8bf161497d">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864f724781fb4920">
              <w:r>
                <w:rPr>
                  <w:rStyle w:val="Hyperlink"/>
                </w:rPr>
                <w:t xml:space="preserve">National Healthcare Agreement: PI 54-Aged care assessments completed, 2012 QS</w:t>
              </w:r>
            </w:hyperlink>
          </w:p>
          <w:p>
            <w:pPr>
              <w:spacing w:before="0" w:after="0"/>
            </w:pPr>
            <w:r>
              <w:rPr>
                <w:rStyle w:val="row-content"/>
                <w:color w:val="244061"/>
              </w:rPr>
              <w:t xml:space="preserve">       </w:t>
            </w:r>
            <w:hyperlink w:history="true" r:id="Raeb24a51832046e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by remoteness and SEIFA Index of Relative Socioeconomic Disadvantage (IRSD) is based on usual residence of person.</w:t>
            </w:r>
          </w:p>
          <w:p>
            <w:pPr>
              <w:spacing w:after="160"/>
            </w:pPr>
            <w:r>
              <w:rPr>
                <w:rStyle w:val="row-content-rich-text"/>
              </w:rPr>
              <w:t xml:space="preserve">Presented as:</w:t>
            </w:r>
          </w:p>
          <w:p>
            <w:pPr>
              <w:pStyle w:val="ListParagraph"/>
              <w:numPr>
                <w:ilvl w:val="0"/>
                <w:numId w:val="2"/>
              </w:numPr>
            </w:pPr>
            <w:r>
              <w:rPr>
                <w:rStyle w:val="row-content-rich-text"/>
              </w:rPr>
              <w:t xml:space="preserve">a number</w:t>
            </w:r>
          </w:p>
          <w:p>
            <w:pPr>
              <w:pStyle w:val="ListParagraph"/>
              <w:numPr>
                <w:ilvl w:val="0"/>
                <w:numId w:val="2"/>
              </w:numPr>
            </w:pPr>
            <w:r>
              <w:rPr>
                <w:rStyle w:val="row-content-rich-text"/>
              </w:rPr>
              <w:t xml:space="preserve">number per 1,000 (total population)</w:t>
            </w:r>
          </w:p>
          <w:p>
            <w:pPr>
              <w:pStyle w:val="ListParagraph"/>
              <w:numPr>
                <w:ilvl w:val="0"/>
                <w:numId w:val="2"/>
              </w:numPr>
            </w:pPr>
            <w:r>
              <w:rPr>
                <w:rStyle w:val="row-content-rich-text"/>
              </w:rPr>
              <w:t xml:space="preserve">total per population (70 years or over plus Indigenous people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1,000 × (Numerator ÷ total population)</w:t>
            </w:r>
          </w:p>
          <w:p>
            <w:pPr/>
            <w:r>
              <w:rPr>
                <w:rStyle w:val="row-content-rich-text"/>
              </w:rPr>
              <w:t xml:space="preserve">1,000 × (Numerator ÷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ACAP assessments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ACAP assessments completed</w:t>
            </w:r>
          </w:p>
          <w:p>
            <w:r>
              <w:rPr>
                <w:rStyle w:val="row-content"/>
                <w:b/>
              </w:rPr>
              <w:t xml:space="preserve">Data Source</w:t>
            </w:r>
          </w:p>
          <w:p>
            <w:hyperlink w:history="true" r:id="R231886252d31464f">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Projected total population</w:t>
            </w:r>
          </w:p>
          <w:p>
            <w:pPr/>
            <w:r>
              <w:rPr>
                <w:rStyle w:val="row-content-rich-text"/>
              </w:rPr>
              <w:t xml:space="preserve">Projected target population (total population 70 years or over plus Indigenous population aged 50–69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8832a5639bd943d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b74fdce42c842f8">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(revised for SEIFA), and 2009–10—Nationally, by SEIFA Index of Relative Socioeconomic Disadvantage (IRSD) deciles</w:t>
            </w:r>
          </w:p>
          <w:p>
            <w:pPr>
              <w:spacing w:after="160"/>
            </w:pPr>
            <w:r>
              <w:rPr>
                <w:rStyle w:val="row-content-rich-text"/>
              </w:rPr>
              <w:t xml:space="preserve">2007–08 (revised for remoteness and SEIFA), and 2009–10—State and territory, by:</w:t>
            </w:r>
          </w:p>
          <w:p>
            <w:pPr>
              <w:pStyle w:val="ListParagraph"/>
              <w:numPr>
                <w:ilvl w:val="0"/>
                <w:numId w:val="3"/>
              </w:numPr>
            </w:pPr>
            <w:r>
              <w:rPr>
                <w:rStyle w:val="row-content-rich-text"/>
              </w:rPr>
              <w:t xml:space="preserve">age group (&lt;50, 50–64, 65–69, 70–74, 75–79, 80–84, 85 years and over)</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 Classification Remoteness Structure)</w:t>
            </w:r>
          </w:p>
          <w:p>
            <w:pPr>
              <w:pStyle w:val="ListParagraph"/>
              <w:numPr>
                <w:ilvl w:val="0"/>
                <w:numId w:val="3"/>
              </w:numPr>
            </w:pPr>
            <w:r>
              <w:rPr>
                <w:rStyle w:val="row-content-rich-text"/>
              </w:rPr>
              <w:t xml:space="preserve">SEIFA IRSD quintiles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1bfae25776cc4517">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4d7e6e22abdc4b0e">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1310983a743d4f46">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Service provider organisation—Australian state/territory identifier</w:t>
            </w:r>
          </w:p>
          <w:p>
            <w:r>
              <w:rPr>
                <w:rStyle w:val="row-content"/>
                <w:b/>
              </w:rPr>
              <w:t xml:space="preserve">Data Source</w:t>
            </w:r>
          </w:p>
          <w:p>
            <w:hyperlink w:history="true" r:id="Rb80e99115dbc4e2f">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ACAP assessment is required to access residential aged care, Community Aged Care Packages (CACP), Extended Aged Care at Home (EACH), EACH Dementia (EACH-D) and the Transition Care Program. ACAP assessment not required for Home and Community Care (HACC) and Veterans’ Home Care (VHC).</w:t>
            </w:r>
          </w:p>
          <w:p>
            <w:pPr>
              <w:spacing w:after="160"/>
            </w:pPr>
            <w:r>
              <w:rPr>
                <w:rStyle w:val="row-content-rich-text"/>
                <w:u w:val="single"/>
              </w:rPr>
              <w:t xml:space="preserve">DoHA population projections: </w:t>
            </w:r>
          </w:p>
          <w:p>
            <w:pPr>
              <w:spacing w:after="160"/>
            </w:pPr>
            <w:r>
              <w:rPr>
                <w:rStyle w:val="row-content-rich-text"/>
              </w:rPr>
              <w:t xml:space="preserve">DoHA projections of the total population are based on the 2006 Census. These projections were prepared (as SLA level) for DoHA by the Australian Bureau of Statistics (ABS) according to assumptions agreed to by DoHA.</w:t>
            </w:r>
          </w:p>
          <w:p>
            <w:pPr>
              <w:spacing w:after="160"/>
            </w:pPr>
            <w:r>
              <w:rPr>
                <w:rStyle w:val="row-content-rich-text"/>
              </w:rPr>
              <w:t xml:space="preserve">DoHA Indigenous population projections were prepared from ABS Indigenous Experimental 2006 ERP data (at SLA level) projected forward so as to align with published ABS Indigenous Experimental Estimates and Projections (ABS cat. no. 3238.0, series B) at the state and national level.</w:t>
            </w:r>
          </w:p>
          <w:p>
            <w:pPr/>
            <w:r>
              <w:rPr>
                <w:rStyle w:val="row-content-rich-text"/>
              </w:rPr>
              <w:t xml:space="preserve">DoHA projections by remoteness areas are prepared by summing SLA projections to Remoteness Areas.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8c8ff415264918">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8daa2c855b5456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5d0ac5c115a545f0">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82e4f418ea64cfa">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acf3e222186b4a9a">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b6b4f6b244064259">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w:t>
            </w:r>
          </w:p>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9c0ff8db294f55">
              <w:r>
                <w:rPr>
                  <w:rStyle w:val="Hyperlink"/>
                </w:rPr>
                <w:t xml:space="preserve">National Healthcare Agreement: PI 54-Aged care assessments completed, 2011</w:t>
              </w:r>
            </w:hyperlink>
          </w:p>
          <w:p>
            <w:pPr>
              <w:spacing w:before="0" w:after="0"/>
            </w:pPr>
            <w:r>
              <w:rPr>
                <w:rStyle w:val="row-content"/>
                <w:color w:val="244061"/>
              </w:rPr>
              <w:t xml:space="preserve">       </w:t>
            </w:r>
            <w:hyperlink w:history="true" r:id="Rf6f79f1d1ee24cf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61c56a05a4a47fa">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4ae7c20129c947e0">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576acb7db64244be">
              <w:r>
                <w:rPr>
                  <w:rStyle w:val="Hyperlink"/>
                </w:rPr>
                <w:t xml:space="preserve">National Healthcare Agreement: PI 53-Older people receiving aged care services, 2012</w:t>
              </w:r>
            </w:hyperlink>
          </w:p>
          <w:p>
            <w:pPr>
              <w:spacing w:before="0" w:after="0"/>
            </w:pPr>
            <w:r>
              <w:rPr>
                <w:rStyle w:val="row-content"/>
                <w:color w:val="244061"/>
              </w:rPr>
              <w:t xml:space="preserve">       </w:t>
            </w:r>
            <w:hyperlink w:history="true" r:id="Rff5c176aae194f66">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2a80e12d8df647c3">
              <w:r>
                <w:rPr>
                  <w:rStyle w:val="Hyperlink"/>
                </w:rPr>
                <w:t xml:space="preserve">National Healthcare Agreement: PI 55-Younger people with disabilities using residential, CACP, and EACH aged care services, 2012</w:t>
              </w:r>
            </w:hyperlink>
          </w:p>
          <w:p>
            <w:pPr>
              <w:spacing w:before="0" w:after="0"/>
            </w:pPr>
            <w:r>
              <w:rPr>
                <w:rStyle w:val="row-content"/>
                <w:color w:val="244061"/>
              </w:rPr>
              <w:t xml:space="preserve">       </w:t>
            </w:r>
            <w:hyperlink w:history="true" r:id="R82ef437d258d4451">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96f28150ccf6438e">
              <w:r>
                <w:rPr>
                  <w:rStyle w:val="Hyperlink"/>
                </w:rPr>
                <w:t xml:space="preserve">National Healthcare Agreement: PI 56-People aged 65 years or over receiving sub-acute services, 2012</w:t>
              </w:r>
            </w:hyperlink>
          </w:p>
          <w:p>
            <w:pPr>
              <w:spacing w:before="0" w:after="0"/>
            </w:pPr>
            <w:r>
              <w:rPr>
                <w:rStyle w:val="row-content"/>
                <w:color w:val="244061"/>
              </w:rPr>
              <w:t xml:space="preserve">       </w:t>
            </w:r>
            <w:hyperlink w:history="true" r:id="Rc51fd771cb064d17">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73f67688d754b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436891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16be627a8a40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f67688d754b16" /><Relationship Type="http://schemas.openxmlformats.org/officeDocument/2006/relationships/header" Target="/word/header1.xml" Id="R235c3fac772341a0" /><Relationship Type="http://schemas.openxmlformats.org/officeDocument/2006/relationships/settings" Target="/word/settings.xml" Id="R14b9ac7250334fa7" /><Relationship Type="http://schemas.openxmlformats.org/officeDocument/2006/relationships/styles" Target="/word/styles.xml" Id="Rcb09c42104864830" /><Relationship Type="http://schemas.openxmlformats.org/officeDocument/2006/relationships/hyperlink" Target="https://meteor.aihw.gov.au/RegistrationAuthority/12" TargetMode="External" Id="Rf082fece7a1d48bd" /><Relationship Type="http://schemas.openxmlformats.org/officeDocument/2006/relationships/hyperlink" Target="https://meteor.aihw.gov.au/content/435821" TargetMode="External" Id="R7b19ddc1c7fb492a" /><Relationship Type="http://schemas.openxmlformats.org/officeDocument/2006/relationships/hyperlink" Target="https://meteor.aihw.gov.au/RegistrationAuthority/12" TargetMode="External" Id="R6148e3bf9591453d" /><Relationship Type="http://schemas.openxmlformats.org/officeDocument/2006/relationships/hyperlink" Target="https://meteor.aihw.gov.au/content/393489" TargetMode="External" Id="R96c1696a0d2549a0" /><Relationship Type="http://schemas.openxmlformats.org/officeDocument/2006/relationships/hyperlink" Target="https://meteor.aihw.gov.au/RegistrationAuthority/12" TargetMode="External" Id="R8e7bda8bf161497d" /><Relationship Type="http://schemas.openxmlformats.org/officeDocument/2006/relationships/hyperlink" Target="https://meteor.aihw.gov.au/content/500112" TargetMode="External" Id="R864f724781fb4920" /><Relationship Type="http://schemas.openxmlformats.org/officeDocument/2006/relationships/hyperlink" Target="https://meteor.aihw.gov.au/RegistrationAuthority/12" TargetMode="External" Id="Raeb24a51832046e0" /><Relationship Type="http://schemas.openxmlformats.org/officeDocument/2006/relationships/numbering" Target="/word/numbering.xml" Id="R9faaecfaf08245f0" /><Relationship Type="http://schemas.openxmlformats.org/officeDocument/2006/relationships/hyperlink" Target="https://meteor.aihw.gov.au/content/394091" TargetMode="External" Id="R231886252d31464f" /><Relationship Type="http://schemas.openxmlformats.org/officeDocument/2006/relationships/hyperlink" Target="https://meteor.aihw.gov.au/content/393625" TargetMode="External" Id="R8832a5639bd943db" /><Relationship Type="http://schemas.openxmlformats.org/officeDocument/2006/relationships/hyperlink" Target="https://meteor.aihw.gov.au/content/394092" TargetMode="External" Id="R4b74fdce42c842f8" /><Relationship Type="http://schemas.openxmlformats.org/officeDocument/2006/relationships/hyperlink" Target="https://meteor.aihw.gov.au/content/394091" TargetMode="External" Id="R1bfae25776cc4517" /><Relationship Type="http://schemas.openxmlformats.org/officeDocument/2006/relationships/hyperlink" Target="https://meteor.aihw.gov.au/content/394091" TargetMode="External" Id="R4d7e6e22abdc4b0e" /><Relationship Type="http://schemas.openxmlformats.org/officeDocument/2006/relationships/hyperlink" Target="https://meteor.aihw.gov.au/content/394091" TargetMode="External" Id="R1310983a743d4f46" /><Relationship Type="http://schemas.openxmlformats.org/officeDocument/2006/relationships/hyperlink" Target="https://meteor.aihw.gov.au/content/394091" TargetMode="External" Id="Rb80e99115dbc4e2f" /><Relationship Type="http://schemas.openxmlformats.org/officeDocument/2006/relationships/hyperlink" Target="https://meteor.aihw.gov.au/content/392591" TargetMode="External" Id="R378c8ff415264918" /><Relationship Type="http://schemas.openxmlformats.org/officeDocument/2006/relationships/hyperlink" Target="https://meteor.aihw.gov.au/content/393625" TargetMode="External" Id="Rb8daa2c855b54568" /><Relationship Type="http://schemas.openxmlformats.org/officeDocument/2006/relationships/hyperlink" Target="https://meteor.aihw.gov.au/content/449216" TargetMode="External" Id="R5d0ac5c115a545f0" /><Relationship Type="http://schemas.openxmlformats.org/officeDocument/2006/relationships/hyperlink" Target="https://meteor.aihw.gov.au/content/394091" TargetMode="External" Id="R182e4f418ea64cfa" /><Relationship Type="http://schemas.openxmlformats.org/officeDocument/2006/relationships/hyperlink" Target="https://meteor.aihw.gov.au/content/394092" TargetMode="External" Id="Racf3e222186b4a9a" /><Relationship Type="http://schemas.openxmlformats.org/officeDocument/2006/relationships/hyperlink" Target="https://meteor.aihw.gov.au/content/449223" TargetMode="External" Id="Rb6b4f6b244064259" /><Relationship Type="http://schemas.openxmlformats.org/officeDocument/2006/relationships/hyperlink" Target="https://meteor.aihw.gov.au/content/421550" TargetMode="External" Id="R799c0ff8db294f55" /><Relationship Type="http://schemas.openxmlformats.org/officeDocument/2006/relationships/hyperlink" Target="https://meteor.aihw.gov.au/RegistrationAuthority/12" TargetMode="External" Id="Rf6f79f1d1ee24cff" /><Relationship Type="http://schemas.openxmlformats.org/officeDocument/2006/relationships/hyperlink" Target="https://meteor.aihw.gov.au/content/436881" TargetMode="External" Id="R561c56a05a4a47fa" /><Relationship Type="http://schemas.openxmlformats.org/officeDocument/2006/relationships/hyperlink" Target="https://meteor.aihw.gov.au/RegistrationAuthority/12" TargetMode="External" Id="R4ae7c20129c947e0" /><Relationship Type="http://schemas.openxmlformats.org/officeDocument/2006/relationships/hyperlink" Target="https://meteor.aihw.gov.au/content/436887" TargetMode="External" Id="R576acb7db64244be" /><Relationship Type="http://schemas.openxmlformats.org/officeDocument/2006/relationships/hyperlink" Target="https://meteor.aihw.gov.au/RegistrationAuthority/12" TargetMode="External" Id="Rff5c176aae194f66" /><Relationship Type="http://schemas.openxmlformats.org/officeDocument/2006/relationships/hyperlink" Target="https://meteor.aihw.gov.au/content/436893" TargetMode="External" Id="R2a80e12d8df647c3" /><Relationship Type="http://schemas.openxmlformats.org/officeDocument/2006/relationships/hyperlink" Target="https://meteor.aihw.gov.au/RegistrationAuthority/12" TargetMode="External" Id="R82ef437d258d4451" /><Relationship Type="http://schemas.openxmlformats.org/officeDocument/2006/relationships/hyperlink" Target="https://meteor.aihw.gov.au/content/435895" TargetMode="External" Id="R96f28150ccf6438e" /><Relationship Type="http://schemas.openxmlformats.org/officeDocument/2006/relationships/hyperlink" Target="https://meteor.aihw.gov.au/RegistrationAuthority/12" TargetMode="External" Id="Rc51fd771cb064d17" /></Relationships>
</file>

<file path=word/_rels/header1.xml.rels>&#65279;<?xml version="1.0" encoding="utf-8"?><Relationships xmlns="http://schemas.openxmlformats.org/package/2006/relationships"><Relationship Type="http://schemas.openxmlformats.org/officeDocument/2006/relationships/image" Target="/media/image.png" Id="R3916be627a8a4049" /></Relationships>
</file>