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abe2340d7046d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09-Immunisation rates for vaccines in the national schedule,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09-Immunisation rates for vaccines in the national schedule,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09-Immunisation rates for vaccines in the national schedule,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0f005d7044433a">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fully vaccinated and proportion of older adults vaccinated against specific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f13b2b543d84af7">
              <w:r>
                <w:rPr>
                  <w:rStyle w:val="Hyperlink"/>
                </w:rPr>
                <w:t xml:space="preserve">National Healthcare Agreement (2012)</w:t>
              </w:r>
            </w:hyperlink>
          </w:p>
          <w:p>
            <w:pPr>
              <w:pStyle w:val="registration-status"/>
              <w:spacing w:before="0" w:after="0"/>
            </w:pPr>
            <w:hyperlink w:history="true" r:id="Re695c67c0bb84520">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372a3fb501a4638">
              <w:r>
                <w:rPr>
                  <w:rStyle w:val="Hyperlink"/>
                </w:rPr>
                <w:t xml:space="preserve">Prevention</w:t>
              </w:r>
            </w:hyperlink>
          </w:p>
          <w:p>
            <w:pPr>
              <w:pStyle w:val="registration-status"/>
              <w:spacing w:before="0" w:after="0"/>
            </w:pPr>
            <w:hyperlink w:history="true" r:id="R54f87309a3234d1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94794ccd8164f4c">
              <w:r>
                <w:rPr>
                  <w:rStyle w:val="Hyperlink"/>
                </w:rPr>
                <w:t xml:space="preserve">National Healthcare Agreement: PI 09-Immunisation rates for vaccines in the national schedule (Australian Childhood Immunisation Register), 2012 QS</w:t>
              </w:r>
            </w:hyperlink>
          </w:p>
          <w:p>
            <w:pPr>
              <w:pStyle w:val="registration-status"/>
              <w:spacing w:before="0" w:after="0"/>
            </w:pPr>
            <w:hyperlink w:history="true" r:id="R00b7a5aa3f2049be">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Fully vaccinated 5 year old children</w:t>
            </w:r>
            <w:r>
              <w:rPr>
                <w:rStyle w:val="row-content-rich-text"/>
              </w:rPr>
              <w:t xml:space="preserve">: Children aged 60—63 months vaccinated against diptheria, tetanus, pertussis, poliomyelitis, measles, mumps and rubella.</w:t>
            </w:r>
          </w:p>
          <w:p>
            <w:pPr>
              <w:spacing w:after="160"/>
            </w:pPr>
            <w:r>
              <w:rPr>
                <w:rStyle w:val="row-content-rich-text"/>
                <w:u w:val="single"/>
              </w:rPr>
              <w:t xml:space="preserve">Adults</w:t>
            </w:r>
            <w:r>
              <w:rPr>
                <w:rStyle w:val="row-content-rich-text"/>
              </w:rPr>
              <w:t xml:space="preserve"> vaccinated for influenza and pneumococcal disease.</w:t>
            </w:r>
          </w:p>
          <w:p>
            <w:pPr>
              <w:spacing w:after="160"/>
            </w:pPr>
            <w:r>
              <w:rPr>
                <w:rStyle w:val="row-content-rich-text"/>
              </w:rPr>
              <w:t xml:space="preserve">Analysis by remoteness and SEIFA Index of Relative Socio-economic Disadvantage (IRSD) is based on usual residence of person.</w:t>
            </w:r>
          </w:p>
          <w:p>
            <w:pPr>
              <w:spacing w:after="160"/>
            </w:pPr>
            <w:r>
              <w:rPr>
                <w:rStyle w:val="row-content-rich-text"/>
                <w:u w:val="single"/>
              </w:rPr>
              <w:t xml:space="preserve">Adults</w:t>
            </w:r>
            <w:r>
              <w:rPr>
                <w:rStyle w:val="row-content-rich-text"/>
              </w:rPr>
              <w:t xml:space="preserve">: Rates directly age-standardised to the 2001 Australian population.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children, Indigenous Australians aged 50 years or over, and non-Indigenous Australians aged 65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Children</w:t>
            </w:r>
            <w:r>
              <w:rPr>
                <w:rStyle w:val="row-content-rich-text"/>
              </w:rPr>
              <w:t xml:space="preserve">: Number of children who turned five between 1 January and 31 March and who have been recorded as fully vaccinated on the Australian Childhood Immunisation Register by 30 June.</w:t>
            </w:r>
          </w:p>
          <w:p>
            <w:pPr/>
            <w:r>
              <w:rPr>
                <w:rStyle w:val="row-content-rich-text"/>
                <w:u w:val="single"/>
              </w:rPr>
              <w:t xml:space="preserve">Adults</w:t>
            </w:r>
            <w:r>
              <w:rPr>
                <w:rStyle w:val="row-content-rich-text"/>
              </w:rPr>
              <w:t xml:space="preserve">: Number of Indigenous Australians aged 50 years or over, and non-Indigenous Australians aged 65 years or over, who have been vaccinated for influenza and pneumococcal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Indigenous Australians aged 50 years or over, and non-Indigenous Australians aged 65 years or over, who have been vaccinated for influenza and pneumococcal disease</w:t>
            </w:r>
          </w:p>
          <w:p>
            <w:r>
              <w:rPr>
                <w:rStyle w:val="row-content"/>
                <w:b/>
              </w:rPr>
              <w:t xml:space="preserve">Data Source</w:t>
            </w:r>
          </w:p>
          <w:p>
            <w:hyperlink w:history="true" r:id="Ra3e5185b6173470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Number of children aged 5 years who have been fully vaccinated according to the National Immunisation Program Schedule</w:t>
            </w:r>
          </w:p>
          <w:p>
            <w:r>
              <w:rPr>
                <w:rStyle w:val="row-content"/>
                <w:b/>
              </w:rPr>
              <w:t xml:space="preserve">Data Source</w:t>
            </w:r>
          </w:p>
          <w:p>
            <w:hyperlink w:history="true" r:id="Raee7dc1c12a54758">
              <w:r>
                <w:rPr>
                  <w:rStyle w:val="Hyperlink"/>
                </w:rPr>
                <w:t xml:space="preserve">Australian Childhood Immunisation Register (ACIR)</w:t>
              </w:r>
            </w:hyperlink>
          </w:p>
          <w:p>
            <w:r>
              <w:rPr>
                <w:rStyle w:val="row-content"/>
                <w:b/>
              </w:rPr>
              <w:t xml:space="preserve">Guide for use</w:t>
            </w:r>
          </w:p>
          <w:p>
            <w:r>
              <w:rPr>
                <w:rStyle w:val="row-content"/>
              </w:rPr>
              <w:t xml:space="preserve">Data source type: Register</w:t>
            </w:r>
          </w:p>
          <w:p>
            <w:r>
              <w:rPr>
                <w:rStyle w:val="row-content"/>
              </w:rPr>
              <w:t xml:space="preserve"> </w:t>
            </w:r>
          </w:p>
          <w:p>
            <w:r>
              <w:rPr>
                <w:rStyle w:val="row-content"/>
                <w:b/>
                <w:color w:val="000000"/>
              </w:rPr>
              <w:t xml:space="preserve">Data Element / Data Set</w:t>
            </w:r>
            <w:r>
              <w:rPr>
                <w:rStyle w:val="row-content"/>
              </w:rPr>
              <w:t xml:space="preserve">Number of Indigenous Australians aged 50 years or over, and non-Indigenous Australians aged 65 years or over, who have been vaccinated for influenza and pneumococcal disease</w:t>
            </w:r>
          </w:p>
          <w:p>
            <w:r>
              <w:rPr>
                <w:rStyle w:val="row-content"/>
                <w:b/>
              </w:rPr>
              <w:t xml:space="preserve">Data Source</w:t>
            </w:r>
          </w:p>
          <w:p>
            <w:hyperlink w:history="true" r:id="R4ad7a2dadb004f53">
              <w:r>
                <w:rPr>
                  <w:rStyle w:val="Hyperlink"/>
                </w:rPr>
                <w:t xml:space="preserve">Adult Vaccination Survey (2009)</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Children</w:t>
            </w:r>
            <w:r>
              <w:rPr>
                <w:rStyle w:val="row-content-rich-text"/>
              </w:rPr>
              <w:t xml:space="preserve">: Number of children who turned five between 1 January and 31 March registered on the Australian Childhood Immunisation Register.</w:t>
            </w:r>
          </w:p>
          <w:p>
            <w:pPr/>
            <w:r>
              <w:rPr>
                <w:rStyle w:val="row-content-rich-text"/>
                <w:u w:val="single"/>
              </w:rPr>
              <w:t xml:space="preserve">Adults</w:t>
            </w:r>
            <w:r>
              <w:rPr>
                <w:rStyle w:val="row-content-rich-text"/>
              </w:rPr>
              <w:t xml:space="preserve">: Population of Indigenous Australians aged 50 years or over, and non-Indigenous Australians aged 65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ed0ff93ae9f8400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f142883227794465">
              <w:r>
                <w:rPr>
                  <w:rStyle w:val="Hyperlink"/>
                </w:rPr>
                <w:t xml:space="preserve">Australian Childhood Immunisation Register (ACIR)</w:t>
              </w:r>
            </w:hyperlink>
          </w:p>
          <w:p>
            <w:r>
              <w:rPr>
                <w:rStyle w:val="row-content"/>
                <w:b/>
              </w:rPr>
              <w:t xml:space="preserve">Guide for use</w:t>
            </w:r>
          </w:p>
          <w:p>
            <w:r>
              <w:rPr>
                <w:rStyle w:val="row-content"/>
              </w:rPr>
              <w:t xml:space="preserve">Data source type: Register</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2768a7c5aa5d413e">
              <w:r>
                <w:rPr>
                  <w:rStyle w:val="Hyperlink"/>
                </w:rPr>
                <w:t xml:space="preserve">Adult Vaccination Survey (2009)</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2011—Nationally (children) by SEIFA Index of Relative Socioeconomic Disadvantage (IRSD) deciles</w:t>
            </w:r>
          </w:p>
          <w:p>
            <w:pPr>
              <w:spacing w:after="160"/>
            </w:pPr>
            <w:r>
              <w:rPr>
                <w:rStyle w:val="row-content-rich-text"/>
              </w:rPr>
              <w:t xml:space="preserve">As at 30 June 2011—State and territory (children)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IRSD quintiles </w:t>
            </w:r>
          </w:p>
          <w:p>
            <w:pPr>
              <w:spacing w:after="160"/>
            </w:pPr>
            <w:r>
              <w:rPr>
                <w:rStyle w:val="row-content-rich-text"/>
              </w:rPr>
              <w:t xml:space="preserve">Nationally (adults) by SEIFA Index of Relative Socioeconomic Disadvantage (IRSD) deciles (no new data)</w:t>
            </w:r>
          </w:p>
          <w:p>
            <w:pPr>
              <w:spacing w:after="160"/>
            </w:pPr>
            <w:r>
              <w:rPr>
                <w:rStyle w:val="row-content-rich-text"/>
              </w:rPr>
              <w:t xml:space="preserve">State and territory (adults) by:</w:t>
            </w:r>
          </w:p>
          <w:p>
            <w:pPr>
              <w:pStyle w:val="ListParagraph"/>
              <w:numPr>
                <w:ilvl w:val="0"/>
                <w:numId w:val="3"/>
              </w:numPr>
            </w:pPr>
            <w:r>
              <w:rPr>
                <w:rStyle w:val="row-content-rich-text"/>
              </w:rPr>
              <w:t xml:space="preserve">remoteness (Australian Standard Geographical Classification Remoteness Structure) </w:t>
            </w:r>
          </w:p>
          <w:p>
            <w:pPr>
              <w:pStyle w:val="ListParagraph"/>
              <w:numPr>
                <w:ilvl w:val="0"/>
                <w:numId w:val="3"/>
              </w:numPr>
            </w:pPr>
            <w:r>
              <w:rPr>
                <w:rStyle w:val="row-content-rich-text"/>
              </w:rPr>
              <w:t xml:space="preserve">SEIFA IRSD quintiles (no new data)</w:t>
            </w:r>
          </w:p>
          <w:p>
            <w:pPr>
              <w:spacing w:after="160"/>
            </w:pPr>
            <w:r>
              <w:rPr>
                <w:rStyle w:val="row-content-rich-text"/>
              </w:rPr>
              <w:t xml:space="preserve">State and territory (adults) by Indigenous status (no new data)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2be835c0733d4382">
              <w:r>
                <w:rPr>
                  <w:rStyle w:val="Hyperlink"/>
                </w:rPr>
                <w:t xml:space="preserve">Australian Childhood Immunisation Register (ACIR)</w:t>
              </w:r>
            </w:hyperlink>
          </w:p>
          <w:p>
            <w:r>
              <w:rPr>
                <w:rStyle w:val="row-content"/>
                <w:b/>
              </w:rPr>
              <w:t xml:space="preserve">Guide for use</w:t>
            </w:r>
          </w:p>
          <w:p>
            <w:r>
              <w:rPr>
                <w:rStyle w:val="row-content"/>
              </w:rPr>
              <w:t xml:space="preserve">Data source type: Register</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2517a67c2fe24736">
              <w:r>
                <w:rPr>
                  <w:rStyle w:val="Hyperlink"/>
                </w:rPr>
                <w:t xml:space="preserve">Australian Childhood Immunisation Register (ACIR)</w:t>
              </w:r>
            </w:hyperlink>
          </w:p>
          <w:p>
            <w:r>
              <w:rPr>
                <w:rStyle w:val="row-content"/>
                <w:b/>
              </w:rPr>
              <w:t xml:space="preserve">Guide for use</w:t>
            </w:r>
          </w:p>
          <w:p>
            <w:r>
              <w:rPr>
                <w:rStyle w:val="row-content"/>
              </w:rPr>
              <w:t xml:space="preserve">Data source type: Register</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5421bf2014f94abc">
              <w:r>
                <w:rPr>
                  <w:rStyle w:val="Hyperlink"/>
                </w:rPr>
                <w:t xml:space="preserve">Adult Vaccination Survey (2009)</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w:t>
            </w:r>
            <w:r>
              <w:rPr>
                <w:rStyle w:val="row-content-rich-text"/>
                <w:u w:val="single"/>
              </w:rPr>
              <w:t xml:space="preserve"> </w:t>
            </w:r>
          </w:p>
          <w:p>
            <w:pPr/>
            <w:r>
              <w:rPr>
                <w:rStyle w:val="row-content-rich-text"/>
                <w:u w:val="single"/>
              </w:rPr>
              <w:t xml:space="preserve">Children</w:t>
            </w:r>
            <w:r>
              <w:rPr>
                <w:rStyle w:val="row-content-rich-text"/>
              </w:rPr>
              <w:t xml:space="preserve">: vaccination status as at 30 June 2011</w:t>
            </w:r>
            <w:r>
              <w:br/>
            </w:r>
            <w:r>
              <w:rPr>
                <w:rStyle w:val="row-content-rich-text"/>
                <w:u w:val="single"/>
              </w:rPr>
              <w:t xml:space="preserve">Adults</w:t>
            </w:r>
            <w:r>
              <w:rPr>
                <w:rStyle w:val="row-content-rich-text"/>
              </w:rPr>
              <w:t xml:space="preserve">: 2009</w:t>
            </w:r>
            <w:r>
              <w:br/>
            </w:r>
            <w:r>
              <w:rPr>
                <w:rStyle w:val="row-content-rich-text"/>
                <w:u w:val="single"/>
              </w:rPr>
              <w:t xml:space="preserve">Indigenous adults</w:t>
            </w:r>
            <w:r>
              <w:rPr>
                <w:rStyle w:val="row-content-rich-text"/>
              </w:rPr>
              <w:t xml:space="preserve">: 2004–05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da40140ced340a8">
              <w:r>
                <w:rPr>
                  <w:rStyle w:val="Hyperlink"/>
                </w:rPr>
                <w:t xml:space="preserve">Accessibility</w:t>
              </w:r>
            </w:hyperlink>
            <w:r>
              <w:br/>
            </w:r>
            <w:r>
              <w:br/>
            </w:r>
            <w:hyperlink w:history="true" r:id="R17135d0ceb7340af">
              <w:r>
                <w:rPr>
                  <w:rStyle w:val="Hyperlink"/>
                </w:rPr>
                <w:t xml:space="preserve">Health behaviours</w:t>
              </w:r>
            </w:hyperlink>
            <w:r>
              <w:br/>
            </w:r>
            <w:r>
              <w:br/>
            </w:r>
          </w:p>
          <w:p>
            <w:hyperlink w:history="true" r:id="R563499792f334d3d">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369b923d04b4c8d">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c69737ab7d04202">
              <w:r>
                <w:rPr>
                  <w:rStyle w:val="Hyperlink"/>
                </w:rPr>
                <w:t xml:space="preserve">Australian Childhood Immunisation Register (ACIR)</w:t>
              </w:r>
            </w:hyperlink>
          </w:p>
          <w:p>
            <w:r>
              <w:rPr>
                <w:rStyle w:val="row-content"/>
                <w:b/>
              </w:rPr>
              <w:t xml:space="preserve">Frequency</w:t>
            </w:r>
          </w:p>
          <w:p>
            <w:r>
              <w:rPr>
                <w:rStyle w:val="row-content"/>
              </w:rPr>
              <w:t xml:space="preserve">Quarterly (register 'snapshot')</w:t>
            </w:r>
          </w:p>
          <w:p>
            <w:r>
              <w:rPr>
                <w:rStyle w:val="row-content"/>
                <w:b/>
              </w:rPr>
              <w:t xml:space="preserve">Data custodian</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bbe99a0ba5e54da0">
              <w:r>
                <w:rPr>
                  <w:rStyle w:val="Hyperlink"/>
                </w:rPr>
                <w:t xml:space="preserve">Adult Vaccination Survey (2009)</w:t>
              </w:r>
            </w:hyperlink>
          </w:p>
          <w:p>
            <w:r>
              <w:rPr>
                <w:rStyle w:val="row-content"/>
                <w:b/>
              </w:rPr>
              <w:t xml:space="preserve">Frequency</w:t>
            </w:r>
          </w:p>
          <w:p>
            <w:r>
              <w:rPr>
                <w:rStyle w:val="row-content"/>
              </w:rPr>
              <w:t xml:space="preserve">Irregularly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Partnership Agreement on Essential Vaccines (NPEV)</w:t>
            </w:r>
            <w:r>
              <w:rPr>
                <w:rStyle w:val="row-content-rich-text"/>
              </w:rPr>
              <w:t xml:space="preserve">:</w:t>
            </w:r>
          </w:p>
          <w:p>
            <w:pPr>
              <w:pStyle w:val="ListParagraph"/>
              <w:numPr>
                <w:ilvl w:val="0"/>
                <w:numId w:val="4"/>
              </w:numPr>
            </w:pPr>
            <w:r>
              <w:rPr>
                <w:rStyle w:val="row-content-rich-text"/>
              </w:rPr>
              <w:t xml:space="preserve">Maintaining or increasing coverage for Indigenous Australians.</w:t>
            </w:r>
          </w:p>
          <w:p>
            <w:pPr>
              <w:pStyle w:val="ListParagraph"/>
              <w:numPr>
                <w:ilvl w:val="0"/>
                <w:numId w:val="4"/>
              </w:numPr>
            </w:pPr>
            <w:r>
              <w:rPr>
                <w:rStyle w:val="row-content-rich-text"/>
              </w:rPr>
              <w:t xml:space="preserve">Maintaining or increasing coverage in agreed areas of low immunisation coverage.</w:t>
            </w:r>
          </w:p>
          <w:p>
            <w:pPr>
              <w:pStyle w:val="ListParagraph"/>
              <w:numPr>
                <w:ilvl w:val="0"/>
                <w:numId w:val="4"/>
              </w:numPr>
            </w:pPr>
            <w:r>
              <w:rPr>
                <w:rStyle w:val="row-content-rich-text"/>
              </w:rPr>
              <w:t xml:space="preserve">Maintaining or decreasing wastage and leakage.</w:t>
            </w:r>
          </w:p>
          <w:p>
            <w:pPr>
              <w:pStyle w:val="ListParagraph"/>
              <w:numPr>
                <w:ilvl w:val="0"/>
                <w:numId w:val="4"/>
              </w:numPr>
            </w:pPr>
            <w:r>
              <w:rPr>
                <w:rStyle w:val="row-content-rich-text"/>
              </w:rPr>
              <w:t xml:space="preserve">Maintaining or increasing vaccination coverage for four year olds. </w:t>
            </w:r>
          </w:p>
          <w:p>
            <w:pPr/>
            <w:r>
              <w:rPr>
                <w:rStyle w:val="row-content-rich-text"/>
              </w:rPr>
              <w:t xml:space="preserve">Also see Schedule G of the NPEV for targets that may be used to monitor and assess the achievement of objectives and outcomes for immunisation under the 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946ab7664b4411">
              <w:r>
                <w:rPr>
                  <w:rStyle w:val="Hyperlink"/>
                </w:rPr>
                <w:t xml:space="preserve">National Healthcare Agreement: PI 09-Immunisation rates for vaccines in the national schedule, 2011</w:t>
              </w:r>
            </w:hyperlink>
          </w:p>
          <w:p>
            <w:pPr>
              <w:pStyle w:val="registration-status"/>
              <w:spacing w:before="0" w:after="0"/>
            </w:pPr>
            <w:hyperlink w:history="true" r:id="R82564229bfb34b9a">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fb7629560edd4ec3">
              <w:r>
                <w:rPr>
                  <w:rStyle w:val="Hyperlink"/>
                </w:rPr>
                <w:t xml:space="preserve">Australian Health Performance Framework: PI 2.1.1–Immunisation rates for vaccines in the national schedule, 2019</w:t>
              </w:r>
            </w:hyperlink>
          </w:p>
          <w:p>
            <w:pPr>
              <w:pStyle w:val="registration-status"/>
              <w:spacing w:before="0" w:after="0"/>
            </w:pPr>
            <w:hyperlink w:history="true" r:id="R022df379897a4274">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1ff9941502ed4075">
              <w:r>
                <w:rPr>
                  <w:rStyle w:val="Hyperlink"/>
                </w:rPr>
                <w:t xml:space="preserve">Australian Health Performance Framework: PI 2.1.1–Immunisation rates for vaccines in the national schedule, 2020</w:t>
              </w:r>
            </w:hyperlink>
          </w:p>
          <w:p>
            <w:pPr>
              <w:pStyle w:val="registration-status"/>
              <w:spacing w:before="0" w:after="0"/>
            </w:pPr>
            <w:hyperlink w:history="true" r:id="Rdf47ad25b0174cac">
              <w:r>
                <w:rPr>
                  <w:rStyle w:val="Hyperlink"/>
                  <w:color w:val="244061"/>
                </w:rPr>
                <w:t xml:space="preserve">Health</w:t>
              </w:r>
            </w:hyperlink>
            <w:r>
              <w:rPr>
                <w:rStyle w:val="row-content"/>
                <w:color w:val="244061"/>
              </w:rPr>
              <w:t xml:space="preserve">, Superseded 07/09/2023</w:t>
            </w:r>
          </w:p>
          <w:p>
            <w:r>
              <w:br/>
            </w:r>
            <w:r>
              <w:rPr>
                <w:rStyle w:val="row-content"/>
              </w:rPr>
              <w:t xml:space="preserve">See also </w:t>
            </w:r>
            <w:hyperlink w:history="true" r:id="R1aa0c7daac1b4aff">
              <w:r>
                <w:rPr>
                  <w:rStyle w:val="Hyperlink"/>
                </w:rPr>
                <w:t xml:space="preserve">Australian Health Performance Framework: PI 2.1.1–Immunisation rates for vaccines in the national schedule, 2021</w:t>
              </w:r>
            </w:hyperlink>
          </w:p>
          <w:p>
            <w:pPr>
              <w:pStyle w:val="registration-status"/>
              <w:spacing w:before="0" w:after="0"/>
            </w:pPr>
            <w:hyperlink w:history="true" r:id="Rc7649fc9a6614604">
              <w:r>
                <w:rPr>
                  <w:rStyle w:val="Hyperlink"/>
                  <w:color w:val="244061"/>
                </w:rPr>
                <w:t xml:space="preserve">Health</w:t>
              </w:r>
            </w:hyperlink>
            <w:r>
              <w:rPr>
                <w:rStyle w:val="row-content"/>
                <w:color w:val="244061"/>
              </w:rPr>
              <w:t xml:space="preserve">, Standard 07/09/2023</w:t>
            </w:r>
          </w:p>
          <w:p>
            <w:r>
              <w:br/>
            </w:r>
            <w:r>
              <w:rPr>
                <w:rStyle w:val="row-content"/>
              </w:rPr>
              <w:t xml:space="preserve">See also </w:t>
            </w:r>
            <w:hyperlink w:history="true" r:id="Rc4803bb28bd9402d">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pStyle w:val="registration-status"/>
              <w:spacing w:before="0" w:after="0"/>
            </w:pPr>
            <w:hyperlink w:history="true" r:id="Rbc91eb79e2f244fe">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a9154d9d755042b3">
              <w:r>
                <w:rPr>
                  <w:rStyle w:val="Hyperlink"/>
                </w:rPr>
                <w:t xml:space="preserve">National Healthcare Agreement: PI 13-Proportion of children with 4th year developmental health check, 2012</w:t>
              </w:r>
            </w:hyperlink>
          </w:p>
          <w:p>
            <w:pPr>
              <w:pStyle w:val="registration-status"/>
              <w:spacing w:before="0" w:after="0"/>
            </w:pPr>
            <w:hyperlink w:history="true" r:id="Re771cd67f63e470b">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1f91098776504efd">
              <w:r>
                <w:rPr>
                  <w:rStyle w:val="Hyperlink"/>
                </w:rPr>
                <w:t xml:space="preserve">National Healthcare Agreement: PI 19-Infant and young child mortality rate, 2012</w:t>
              </w:r>
            </w:hyperlink>
          </w:p>
          <w:p>
            <w:pPr>
              <w:pStyle w:val="registration-status"/>
              <w:spacing w:before="0" w:after="0"/>
            </w:pPr>
            <w:hyperlink w:history="true" r:id="Rfb67d4edd2e34da9">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9908aa42b2a04544">
              <w:r>
                <w:rPr>
                  <w:rStyle w:val="Hyperlink"/>
                </w:rPr>
                <w:t xml:space="preserve">National Healthcare Agreement: PI 20-Potentially avoidable deaths, 2012</w:t>
              </w:r>
            </w:hyperlink>
          </w:p>
          <w:p>
            <w:pPr>
              <w:pStyle w:val="registration-status"/>
              <w:spacing w:before="0" w:after="0"/>
            </w:pPr>
            <w:hyperlink w:history="true" r:id="Rb16a504406af433b">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4f0007a842404fdd">
              <w:r>
                <w:rPr>
                  <w:rStyle w:val="Hyperlink"/>
                </w:rPr>
                <w:t xml:space="preserve">National Healthcare Agreement: PI 22-Selected potentially preventable hospitalisations, 2012</w:t>
              </w:r>
            </w:hyperlink>
          </w:p>
          <w:p>
            <w:pPr>
              <w:pStyle w:val="registration-status"/>
              <w:spacing w:before="0" w:after="0"/>
            </w:pPr>
            <w:hyperlink w:history="true" r:id="R2895528cd35b46c6">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0092e570d6b243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436839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624f58e25b45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92e570d6b2433c" /><Relationship Type="http://schemas.openxmlformats.org/officeDocument/2006/relationships/header" Target="/word/header1.xml" Id="R061b6dd4d251453e" /><Relationship Type="http://schemas.openxmlformats.org/officeDocument/2006/relationships/settings" Target="/word/settings.xml" Id="R26908f66a60a4304" /><Relationship Type="http://schemas.openxmlformats.org/officeDocument/2006/relationships/styles" Target="/word/styles.xml" Id="R7c9b329637034d50" /><Relationship Type="http://schemas.openxmlformats.org/officeDocument/2006/relationships/numbering" Target="/word/numbering.xml" Id="R0d73f6894d0f4827" /><Relationship Type="http://schemas.openxmlformats.org/officeDocument/2006/relationships/hyperlink" Target="https://meteor.aihw.gov.au/RegistrationAuthority/12" TargetMode="External" Id="R640f005d7044433a" /><Relationship Type="http://schemas.openxmlformats.org/officeDocument/2006/relationships/hyperlink" Target="https://meteor.aihw.gov.au/content/435821" TargetMode="External" Id="R1f13b2b543d84af7" /><Relationship Type="http://schemas.openxmlformats.org/officeDocument/2006/relationships/hyperlink" Target="https://meteor.aihw.gov.au/RegistrationAuthority/12" TargetMode="External" Id="Re695c67c0bb84520" /><Relationship Type="http://schemas.openxmlformats.org/officeDocument/2006/relationships/hyperlink" Target="https://meteor.aihw.gov.au/content/393136" TargetMode="External" Id="R4372a3fb501a4638" /><Relationship Type="http://schemas.openxmlformats.org/officeDocument/2006/relationships/hyperlink" Target="https://meteor.aihw.gov.au/RegistrationAuthority/12" TargetMode="External" Id="R54f87309a3234d1c" /><Relationship Type="http://schemas.openxmlformats.org/officeDocument/2006/relationships/hyperlink" Target="https://meteor.aihw.gov.au/content/500950" TargetMode="External" Id="R494794ccd8164f4c" /><Relationship Type="http://schemas.openxmlformats.org/officeDocument/2006/relationships/hyperlink" Target="https://meteor.aihw.gov.au/RegistrationAuthority/12" TargetMode="External" Id="R00b7a5aa3f2049be" /><Relationship Type="http://schemas.openxmlformats.org/officeDocument/2006/relationships/hyperlink" Target="https://meteor.aihw.gov.au/content/394146" TargetMode="External" Id="Ra3e5185b61734706" /><Relationship Type="http://schemas.openxmlformats.org/officeDocument/2006/relationships/hyperlink" Target="https://meteor.aihw.gov.au/content/394254" TargetMode="External" Id="Raee7dc1c12a54758" /><Relationship Type="http://schemas.openxmlformats.org/officeDocument/2006/relationships/hyperlink" Target="https://meteor.aihw.gov.au/content/426232" TargetMode="External" Id="R4ad7a2dadb004f53" /><Relationship Type="http://schemas.openxmlformats.org/officeDocument/2006/relationships/hyperlink" Target="https://meteor.aihw.gov.au/content/394146" TargetMode="External" Id="Red0ff93ae9f8400e" /><Relationship Type="http://schemas.openxmlformats.org/officeDocument/2006/relationships/hyperlink" Target="https://meteor.aihw.gov.au/content/394254" TargetMode="External" Id="Rf142883227794465" /><Relationship Type="http://schemas.openxmlformats.org/officeDocument/2006/relationships/hyperlink" Target="https://meteor.aihw.gov.au/content/426232" TargetMode="External" Id="R2768a7c5aa5d413e" /><Relationship Type="http://schemas.openxmlformats.org/officeDocument/2006/relationships/hyperlink" Target="https://meteor.aihw.gov.au/content/394254" TargetMode="External" Id="R2be835c0733d4382" /><Relationship Type="http://schemas.openxmlformats.org/officeDocument/2006/relationships/hyperlink" Target="https://meteor.aihw.gov.au/content/394254" TargetMode="External" Id="R2517a67c2fe24736" /><Relationship Type="http://schemas.openxmlformats.org/officeDocument/2006/relationships/hyperlink" Target="https://meteor.aihw.gov.au/content/426232" TargetMode="External" Id="R5421bf2014f94abc" /><Relationship Type="http://schemas.openxmlformats.org/officeDocument/2006/relationships/hyperlink" Target="https://meteor.aihw.gov.au/content/392591" TargetMode="External" Id="R8da40140ced340a8" /><Relationship Type="http://schemas.openxmlformats.org/officeDocument/2006/relationships/hyperlink" Target="https://meteor.aihw.gov.au/content/392579" TargetMode="External" Id="R17135d0ceb7340af" /><Relationship Type="http://schemas.openxmlformats.org/officeDocument/2006/relationships/hyperlink" Target="https://meteor.aihw.gov.au/content/392587" TargetMode="External" Id="R563499792f334d3d" /><Relationship Type="http://schemas.openxmlformats.org/officeDocument/2006/relationships/hyperlink" Target="https://meteor.aihw.gov.au/content/394146" TargetMode="External" Id="Rb369b923d04b4c8d" /><Relationship Type="http://schemas.openxmlformats.org/officeDocument/2006/relationships/hyperlink" Target="https://meteor.aihw.gov.au/content/394254" TargetMode="External" Id="R3c69737ab7d04202" /><Relationship Type="http://schemas.openxmlformats.org/officeDocument/2006/relationships/hyperlink" Target="https://meteor.aihw.gov.au/content/426232" TargetMode="External" Id="Rbbe99a0ba5e54da0" /><Relationship Type="http://schemas.openxmlformats.org/officeDocument/2006/relationships/hyperlink" Target="https://meteor.aihw.gov.au/content/421684" TargetMode="External" Id="Rce946ab7664b4411" /><Relationship Type="http://schemas.openxmlformats.org/officeDocument/2006/relationships/hyperlink" Target="https://meteor.aihw.gov.au/RegistrationAuthority/12" TargetMode="External" Id="R82564229bfb34b9a" /><Relationship Type="http://schemas.openxmlformats.org/officeDocument/2006/relationships/hyperlink" Target="https://meteor.aihw.gov.au/content/715012" TargetMode="External" Id="Rfb7629560edd4ec3" /><Relationship Type="http://schemas.openxmlformats.org/officeDocument/2006/relationships/hyperlink" Target="https://meteor.aihw.gov.au/RegistrationAuthority/12" TargetMode="External" Id="R022df379897a4274" /><Relationship Type="http://schemas.openxmlformats.org/officeDocument/2006/relationships/hyperlink" Target="https://meteor.aihw.gov.au/content/728323" TargetMode="External" Id="R1ff9941502ed4075" /><Relationship Type="http://schemas.openxmlformats.org/officeDocument/2006/relationships/hyperlink" Target="https://meteor.aihw.gov.au/RegistrationAuthority/12" TargetMode="External" Id="Rdf47ad25b0174cac" /><Relationship Type="http://schemas.openxmlformats.org/officeDocument/2006/relationships/hyperlink" Target="https://meteor.aihw.gov.au/content/777773" TargetMode="External" Id="R1aa0c7daac1b4aff" /><Relationship Type="http://schemas.openxmlformats.org/officeDocument/2006/relationships/hyperlink" Target="https://meteor.aihw.gov.au/RegistrationAuthority/12" TargetMode="External" Id="Rc7649fc9a6614604" /><Relationship Type="http://schemas.openxmlformats.org/officeDocument/2006/relationships/hyperlink" Target="https://meteor.aihw.gov.au/content/443697" TargetMode="External" Id="Rc4803bb28bd9402d" /><Relationship Type="http://schemas.openxmlformats.org/officeDocument/2006/relationships/hyperlink" Target="https://meteor.aihw.gov.au/RegistrationAuthority/12" TargetMode="External" Id="Rbc91eb79e2f244fe" /><Relationship Type="http://schemas.openxmlformats.org/officeDocument/2006/relationships/hyperlink" Target="https://meteor.aihw.gov.au/content/441359" TargetMode="External" Id="Ra9154d9d755042b3" /><Relationship Type="http://schemas.openxmlformats.org/officeDocument/2006/relationships/hyperlink" Target="https://meteor.aihw.gov.au/RegistrationAuthority/12" TargetMode="External" Id="Re771cd67f63e470b" /><Relationship Type="http://schemas.openxmlformats.org/officeDocument/2006/relationships/hyperlink" Target="https://meteor.aihw.gov.au/content/443683" TargetMode="External" Id="R1f91098776504efd" /><Relationship Type="http://schemas.openxmlformats.org/officeDocument/2006/relationships/hyperlink" Target="https://meteor.aihw.gov.au/RegistrationAuthority/12" TargetMode="External" Id="Rfb67d4edd2e34da9" /><Relationship Type="http://schemas.openxmlformats.org/officeDocument/2006/relationships/hyperlink" Target="https://meteor.aihw.gov.au/content/443685" TargetMode="External" Id="R9908aa42b2a04544" /><Relationship Type="http://schemas.openxmlformats.org/officeDocument/2006/relationships/hyperlink" Target="https://meteor.aihw.gov.au/RegistrationAuthority/12" TargetMode="External" Id="Rb16a504406af433b" /><Relationship Type="http://schemas.openxmlformats.org/officeDocument/2006/relationships/hyperlink" Target="https://meteor.aihw.gov.au/content/443687" TargetMode="External" Id="R4f0007a842404fdd" /><Relationship Type="http://schemas.openxmlformats.org/officeDocument/2006/relationships/hyperlink" Target="https://meteor.aihw.gov.au/RegistrationAuthority/12" TargetMode="External" Id="R2895528cd35b46c6" /></Relationships>
</file>

<file path=word/_rels/header1.xml.rels>&#65279;<?xml version="1.0" encoding="utf-8"?><Relationships xmlns="http://schemas.openxmlformats.org/package/2006/relationships"><Relationship Type="http://schemas.openxmlformats.org/officeDocument/2006/relationships/image" Target="/media/image.png" Id="R3c624f58e25b4592" /></Relationships>
</file>