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b01c6e943d403b" /></Relationships>
</file>

<file path=word/document.xml><?xml version="1.0" encoding="utf-8"?>
<w:document xmlns:r="http://schemas.openxmlformats.org/officeDocument/2006/relationships" xmlns:w="http://schemas.openxmlformats.org/wordprocessingml/2006/main">
  <w:body>
    <w:p>
      <w:pPr>
        <w:pStyle w:val="Title"/>
      </w:pPr>
      <w:r>
        <w:t>Person with cancer—histopathological grade, Gleason score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cancer—histopathological grade, Gleason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Gleason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Gleason sum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182971039d44b9">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hyperlink w:tooltip="The histopathological grade for prostate cancer outlining the differentiation between tumour tissue and normal prostate tissue. The Gleason score is assigned by a pathologist on assessment of specimens from radical prostatectomy or needle core biopsy.&#10;..." w:history="true" r:id="Rc99abbfa967d4ba7">
              <w:r>
                <w:rPr>
                  <w:rStyle w:val="Hyperlink"/>
                  <w:b/>
                </w:rPr>
                <w:t xml:space="preserve">Gleason score</w:t>
              </w:r>
            </w:hyperlink>
            <w:r>
              <w:rPr>
                <w:rStyle w:val="row-content-rich-text"/>
              </w:rPr>
              <w:t xml:space="preserve"> represents the sum of the primary and secondary Gleason grades outlining the histopathological grade, differentiation or phenotype describing the resemblance of the tumour tissue to the normal tissue from which it arose,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Only relevant for people with prostate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513124748749ff">
              <w:r>
                <w:rPr>
                  <w:rStyle w:val="Hyperlink"/>
                </w:rPr>
                <w:t xml:space="preserve">Person with cancer—histopathological grade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cdffb580a24a63">
              <w:r>
                <w:rPr>
                  <w:rStyle w:val="Hyperlink"/>
                </w:rPr>
                <w:t xml:space="preserve">Gleason score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Grade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Grade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Grade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Grade 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Grade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Grade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Grade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Grade 10</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Gleason score (sum) is formed by adding the primary and secondary Gleason grades/patterns together as outlined in Table 1 for radical prostatectomy specimens and Table 2 for needle core biopsy specimens. If only one grade is found in the tissue sample, then that grade (the primary Gleason grade) is multiplied by two to give the score.</w:t>
            </w:r>
          </w:p>
          <w:p>
            <w:pPr>
              <w:spacing w:after="160"/>
            </w:pPr>
            <w:r>
              <w:rPr>
                <w:rStyle w:val="row-content-rich-text"/>
              </w:rPr>
              <w:t xml:space="preserve">Gleason grades range from 2 to 10 for radical prostatectomy specimens and 5-10 for needle core biopsy specimens (Grades 2-4 are not applicable to needle core biopsy specimens).</w:t>
            </w:r>
          </w:p>
          <w:p>
            <w:pPr>
              <w:spacing w:after="160"/>
            </w:pPr>
            <w:r>
              <w:rPr>
                <w:rStyle w:val="row-content-rich-text"/>
              </w:rPr>
              <w:t xml:space="preserve">Table 1: Gleason scoring in radical prostatectomy specimens</w:t>
            </w:r>
          </w:p>
          <w:p>
            <w:pPr>
              <w:spacing w:after="160"/>
            </w:pPr>
            <w:r>
              <w:rPr>
                <w:rStyle w:val="row-content-rich-text"/>
              </w:rPr>
              <w:t xml:space="preserve"> </w:t>
            </w:r>
          </w:p>
          <w:tbl>
            <w:tblPr>
              <w:tblStyle w:val="TableGrid"/>
              <w:tblW w:w="5000" w:type="pct"/>
              <w:tblLayout w:type="autofit"/>
            </w:tblPr>
            <w:tblGrid>
              <w:gridCol/>
              <w:gridCol/>
              <w:gridCol/>
            </w:tblGrid>
            <w:tr>
              <w:trPr/>
              <w:tc>
                <w:tcPr>
                  <w:tcW w:w="900" w:type="pct"/>
                  <w:vAlign w:val="top"/>
                </w:tcPr>
                <w:p>
                  <w:pPr/>
                  <w:r>
                    <w:rPr>
                      <w:rStyle w:val="row-content-rich-text"/>
                    </w:rPr>
                    <w:t xml:space="preserve">Number of different grades present</w:t>
                  </w:r>
                </w:p>
              </w:tc>
              <w:tc>
                <w:tcPr>
                  <w:tcW w:w="1550" w:type="pct"/>
                  <w:vAlign w:val="top"/>
                </w:tcPr>
                <w:p>
                  <w:r>
                    <w:t xml:space="preserve">Proportion of grades present</w:t>
                  </w:r>
                </w:p>
              </w:tc>
              <w:tc>
                <w:tcPr>
                  <w:tcW w:w="2500" w:type="pct"/>
                  <w:vAlign w:val="top"/>
                </w:tcPr>
                <w:p>
                  <w:r>
                    <w:t xml:space="preserve">Comments</w:t>
                  </w:r>
                </w:p>
              </w:tc>
            </w:tr>
            <w:tr>
              <w:trPr/>
              <w:tc>
                <w:tcPr>
                  <w:tcW w:w="900" w:type="pct"/>
                  <w:vAlign w:val="top"/>
                </w:tcPr>
                <w:p>
                  <w:r>
                    <w:t xml:space="preserve">1 - Primary</w:t>
                  </w:r>
                </w:p>
              </w:tc>
              <w:tc>
                <w:tcPr>
                  <w:tcW w:w="1550" w:type="pct"/>
                  <w:vAlign w:val="top"/>
                </w:tcPr>
                <w:p>
                  <w:r>
                    <w:t xml:space="preserve">One of 2, 3, 4 or 5 only </w:t>
                  </w:r>
                </w:p>
              </w:tc>
              <w:tc>
                <w:tcPr>
                  <w:tcW w:w="2500" w:type="pct"/>
                  <w:vAlign w:val="top"/>
                </w:tcPr>
                <w:p>
                  <w:r>
                    <w:t xml:space="preserve">Double primary grade to get score</w:t>
                  </w:r>
                </w:p>
                <w:p>
                  <w:r>
                    <w:t xml:space="preserve">(eg 4+4=8)</w:t>
                  </w:r>
                </w:p>
                <w:p>
                  <w:r>
                    <w:t xml:space="preserve">Record for dominant nodule +/- nondominant (smaller) nodule if of higher grade (if present)</w:t>
                  </w:r>
                </w:p>
              </w:tc>
            </w:tr>
            <w:tr>
              <w:trPr/>
              <w:tc>
                <w:tcPr>
                  <w:tcW w:w="900" w:type="pct"/>
                  <w:vAlign w:val="top"/>
                </w:tcPr>
                <w:p>
                  <w:r>
                    <w:t xml:space="preserve">2 – Primary and secondary</w:t>
                  </w:r>
                </w:p>
              </w:tc>
              <w:tc>
                <w:tcPr>
                  <w:tcW w:w="1550" w:type="pct"/>
                  <w:vAlign w:val="top"/>
                </w:tcPr>
                <w:p>
                  <w:r>
                    <w:t xml:space="preserve">Grades mixed</w:t>
                  </w:r>
                </w:p>
              </w:tc>
              <w:tc>
                <w:tcPr>
                  <w:tcW w:w="2500" w:type="pct"/>
                  <w:vAlign w:val="top"/>
                </w:tcPr>
                <w:p>
                  <w:r>
                    <w:t xml:space="preserve">Report both grades, dominant pattern* first (2+3, 3+4, 4+3 ..)</w:t>
                  </w:r>
                </w:p>
                <w:p>
                  <w:r>
                    <w:t xml:space="preserve">Record for dominant nodule +/- nondominant (smaller) nodule if of higher grade (if present)</w:t>
                  </w:r>
                </w:p>
              </w:tc>
            </w:tr>
            <w:tr>
              <w:trPr/>
              <w:tc>
                <w:tcPr>
                  <w:tcW w:w="900" w:type="pct"/>
                  <w:vAlign w:val="top"/>
                </w:tcPr>
                <w:p>
                  <w:r>
                    <w:t xml:space="preserve"> </w:t>
                  </w:r>
                </w:p>
              </w:tc>
              <w:tc>
                <w:tcPr>
                  <w:tcW w:w="1550" w:type="pct"/>
                  <w:vAlign w:val="top"/>
                </w:tcPr>
                <w:p>
                  <w:r>
                    <w:t xml:space="preserve">Secondary grade is lower and of limited amount (&lt;5%)</w:t>
                  </w:r>
                </w:p>
              </w:tc>
              <w:tc>
                <w:tcPr>
                  <w:tcW w:w="2500" w:type="pct"/>
                  <w:vAlign w:val="top"/>
                </w:tcPr>
                <w:p>
                  <w:r>
                    <w:t xml:space="preserve">Ignore lower grade – 4+3 becomes 4+4</w:t>
                  </w:r>
                </w:p>
                <w:p>
                  <w:r>
                    <w:t xml:space="preserve">Record for dominant nodule +/- non dominant (smaller) nodule if of higher grade (if present)</w:t>
                  </w:r>
                </w:p>
              </w:tc>
            </w:tr>
            <w:tr>
              <w:trPr/>
              <w:tc>
                <w:tcPr>
                  <w:tcW w:w="900" w:type="pct"/>
                  <w:vAlign w:val="top"/>
                </w:tcPr>
                <w:p>
                  <w:r>
                    <w:t xml:space="preserve"> </w:t>
                  </w:r>
                </w:p>
              </w:tc>
              <w:tc>
                <w:tcPr>
                  <w:tcW w:w="1550" w:type="pct"/>
                  <w:vAlign w:val="top"/>
                </w:tcPr>
                <w:p>
                  <w:r>
                    <w:t xml:space="preserve">Secondary grade is higher and of limited amount (&lt;5%)</w:t>
                  </w:r>
                </w:p>
              </w:tc>
              <w:tc>
                <w:tcPr>
                  <w:tcW w:w="2500" w:type="pct"/>
                  <w:vAlign w:val="top"/>
                </w:tcPr>
                <w:p>
                  <w:r>
                    <w:t xml:space="preserve">Include higher grade – 3+3 becomes 3+4</w:t>
                  </w:r>
                </w:p>
                <w:p>
                  <w:r>
                    <w:t xml:space="preserve">Record for dominant nodule +/- non dominant (smaller) nodule if of higher grade (if present)</w:t>
                  </w:r>
                </w:p>
              </w:tc>
            </w:tr>
            <w:tr>
              <w:trPr/>
              <w:tc>
                <w:tcPr>
                  <w:tcW w:w="900" w:type="pct"/>
                  <w:vAlign w:val="top"/>
                </w:tcPr>
                <w:p>
                  <w:r>
                    <w:t xml:space="preserve">3 – Primary, secondary and tertiary</w:t>
                  </w:r>
                </w:p>
              </w:tc>
              <w:tc>
                <w:tcPr>
                  <w:tcW w:w="1550" w:type="pct"/>
                  <w:vAlign w:val="top"/>
                </w:tcPr>
                <w:p>
                  <w:r>
                    <w:t xml:space="preserve">Grades 2, 3, 4 or 5 </w:t>
                  </w:r>
                </w:p>
              </w:tc>
              <w:tc>
                <w:tcPr>
                  <w:tcW w:w="2500" w:type="pct"/>
                  <w:vAlign w:val="top"/>
                </w:tcPr>
                <w:p>
                  <w:r>
                    <w:t xml:space="preserve">Report dominant grade (largest area) first, then secondary grade (second largest area), then tertiary grade (only if 4 or 5)</w:t>
                  </w:r>
                </w:p>
                <w:p>
                  <w:r>
                    <w:t xml:space="preserve">eg 3+4=7 with tertiary grade 5*</w:t>
                  </w:r>
                </w:p>
                <w:p>
                  <w:r>
                    <w:t xml:space="preserve">eg 2+3=5 with tertiary grade 4*</w:t>
                  </w:r>
                </w:p>
                <w:p>
                  <w:r>
                    <w:t xml:space="preserve">Record for dominant nodule +/- non dominant (smaller) nodule if of higher grade (if present)</w:t>
                  </w:r>
                </w:p>
              </w:tc>
            </w:tr>
          </w:tbl>
          <w:p>
            <w:r>
              <w:t xml:space="preserve"> </w:t>
            </w:r>
          </w:p>
          <w:p>
            <w:r>
              <w:t xml:space="preserve"> </w:t>
            </w:r>
          </w:p>
          <w:p>
            <w:r>
              <w:t xml:space="preserve">Table 2: Gleason scoring in needle core biopsy specimens</w:t>
            </w:r>
          </w:p>
          <w:p>
            <w:r>
              <w:t xml:space="preserve"> </w:t>
            </w:r>
          </w:p>
          <w:tbl>
            <w:tblPr>
              <w:tblStyle w:val="TableGrid"/>
              <w:tblW w:w="5000" w:type="pct"/>
              <w:tblLayout w:type="autofit"/>
            </w:tblPr>
            <w:tblGrid>
              <w:gridCol/>
              <w:gridCol/>
              <w:gridCol/>
            </w:tblGrid>
            <w:tr>
              <w:trPr/>
              <w:tc>
                <w:tcPr>
                  <w:tcW w:w="950" w:type="pct"/>
                  <w:vAlign w:val="top"/>
                </w:tcPr>
                <w:p>
                  <w:r>
                    <w:t xml:space="preserve">Number of different grades present</w:t>
                  </w:r>
                </w:p>
              </w:tc>
              <w:tc>
                <w:tcPr>
                  <w:tcW w:w="1650" w:type="pct"/>
                  <w:vAlign w:val="top"/>
                </w:tcPr>
                <w:p>
                  <w:r>
                    <w:t xml:space="preserve">Proportion of grades present</w:t>
                  </w:r>
                </w:p>
              </w:tc>
              <w:tc>
                <w:tcPr>
                  <w:tcW w:w="2350" w:type="pct"/>
                  <w:vAlign w:val="top"/>
                </w:tcPr>
                <w:p>
                  <w:r>
                    <w:t xml:space="preserve">Comments</w:t>
                  </w:r>
                </w:p>
              </w:tc>
            </w:tr>
            <w:tr>
              <w:trPr/>
              <w:tc>
                <w:tcPr>
                  <w:tcW w:w="950" w:type="pct"/>
                  <w:vAlign w:val="top"/>
                </w:tcPr>
                <w:p>
                  <w:r>
                    <w:t xml:space="preserve">1 - Primary</w:t>
                  </w:r>
                </w:p>
              </w:tc>
              <w:tc>
                <w:tcPr>
                  <w:tcW w:w="1650" w:type="pct"/>
                  <w:vAlign w:val="top"/>
                </w:tcPr>
                <w:p>
                  <w:r>
                    <w:t xml:space="preserve">One of 3, 4 or 5 only</w:t>
                  </w:r>
                </w:p>
              </w:tc>
              <w:tc>
                <w:tcPr>
                  <w:tcW w:w="2350" w:type="pct"/>
                  <w:vAlign w:val="top"/>
                </w:tcPr>
                <w:p>
                  <w:r>
                    <w:t xml:space="preserve">Double grade to get score</w:t>
                  </w:r>
                </w:p>
                <w:p>
                  <w:r>
                    <w:t xml:space="preserve">(eg 4+4=8)</w:t>
                  </w:r>
                </w:p>
              </w:tc>
            </w:tr>
            <w:tr>
              <w:trPr/>
              <w:tc>
                <w:tcPr>
                  <w:tcW w:w="950" w:type="pct"/>
                  <w:vAlign w:val="top"/>
                </w:tcPr>
                <w:p>
                  <w:r>
                    <w:t xml:space="preserve">2 – Primary and secondary</w:t>
                  </w:r>
                </w:p>
              </w:tc>
              <w:tc>
                <w:tcPr>
                  <w:tcW w:w="1650" w:type="pct"/>
                  <w:vAlign w:val="top"/>
                </w:tcPr>
                <w:p>
                  <w:r>
                    <w:t xml:space="preserve">Grades mixed</w:t>
                  </w:r>
                </w:p>
              </w:tc>
              <w:tc>
                <w:tcPr>
                  <w:tcW w:w="2350" w:type="pct"/>
                  <w:vAlign w:val="top"/>
                </w:tcPr>
                <w:p>
                  <w:r>
                    <w:t xml:space="preserve">Report both grades, dominant pattern first ( 3+4, 4+3 ..)</w:t>
                  </w:r>
                </w:p>
              </w:tc>
            </w:tr>
            <w:tr>
              <w:trPr/>
              <w:tc>
                <w:tcPr>
                  <w:tcW w:w="950" w:type="pct"/>
                  <w:vAlign w:val="top"/>
                </w:tcPr>
                <w:p>
                  <w:r>
                    <w:t xml:space="preserve"> </w:t>
                  </w:r>
                </w:p>
              </w:tc>
              <w:tc>
                <w:tcPr>
                  <w:tcW w:w="1650" w:type="pct"/>
                  <w:vAlign w:val="top"/>
                </w:tcPr>
                <w:p>
                  <w:r>
                    <w:t xml:space="preserve">Secondary grade is lower and of limited amount (&lt;5%)</w:t>
                  </w:r>
                </w:p>
              </w:tc>
              <w:tc>
                <w:tcPr>
                  <w:tcW w:w="2350" w:type="pct"/>
                  <w:vAlign w:val="top"/>
                </w:tcPr>
                <w:p>
                  <w:r>
                    <w:t xml:space="preserve">Ignore lower grade –</w:t>
                  </w:r>
                </w:p>
                <w:p>
                  <w:r>
                    <w:t xml:space="preserve">4+3 becomes 4+4</w:t>
                  </w:r>
                </w:p>
              </w:tc>
            </w:tr>
            <w:tr>
              <w:trPr/>
              <w:tc>
                <w:tcPr>
                  <w:tcW w:w="950" w:type="pct"/>
                  <w:vAlign w:val="top"/>
                </w:tcPr>
                <w:p>
                  <w:r>
                    <w:t xml:space="preserve"> </w:t>
                  </w:r>
                </w:p>
              </w:tc>
              <w:tc>
                <w:tcPr>
                  <w:tcW w:w="1650" w:type="pct"/>
                  <w:vAlign w:val="top"/>
                </w:tcPr>
                <w:p>
                  <w:r>
                    <w:t xml:space="preserve">Secondary grade is higher and of limited amount (&lt;5%)</w:t>
                  </w:r>
                </w:p>
              </w:tc>
              <w:tc>
                <w:tcPr>
                  <w:tcW w:w="2350" w:type="pct"/>
                  <w:vAlign w:val="top"/>
                </w:tcPr>
                <w:p>
                  <w:r>
                    <w:t xml:space="preserve">Include higher grade –</w:t>
                  </w:r>
                </w:p>
                <w:p>
                  <w:r>
                    <w:t xml:space="preserve">3+3 becomes 3+4</w:t>
                  </w:r>
                </w:p>
              </w:tc>
            </w:tr>
            <w:tr>
              <w:trPr/>
              <w:tc>
                <w:tcPr>
                  <w:tcW w:w="950" w:type="pct"/>
                  <w:vAlign w:val="top"/>
                </w:tcPr>
                <w:p>
                  <w:r>
                    <w:t xml:space="preserve">3 – Primary, secondary and tertiary</w:t>
                  </w:r>
                </w:p>
              </w:tc>
              <w:tc>
                <w:tcPr>
                  <w:tcW w:w="1650" w:type="pct"/>
                  <w:vAlign w:val="top"/>
                </w:tcPr>
                <w:p>
                  <w:r>
                    <w:t xml:space="preserve">Grades 3, 4 or 5 </w:t>
                  </w:r>
                </w:p>
              </w:tc>
              <w:tc>
                <w:tcPr>
                  <w:tcW w:w="2350" w:type="pct"/>
                  <w:vAlign w:val="top"/>
                </w:tcPr>
                <w:p>
                  <w:r>
                    <w:t xml:space="preserve">Score the primary grade and the highest grade:</w:t>
                  </w:r>
                </w:p>
                <w:p>
                  <w:r>
                    <w:t xml:space="preserve">eg 3+4+5 becomes 3+5=8</w:t>
                  </w:r>
                </w:p>
                <w:p>
                  <w:r>
                    <w:t xml:space="preserve">eg 4+5+3=5 becomes 4+5=9</w:t>
                  </w:r>
                </w:p>
              </w:tc>
            </w:tr>
          </w:tbl>
          <w:p>
            <w:r>
              <w:t xml:space="preserve"> </w:t>
            </w:r>
          </w:p>
          <w:p>
            <w:r>
              <w:t xml:space="preserve">* The tertiary grade is recorded separately under the item Person with cancer—histopathological grade, tertiary Gleason grade, code N</w:t>
            </w:r>
          </w:p>
          <w:p>
            <w:r>
              <w:t xml:space="preserve">Note: Dominant (primary) grade is that which occupies the greatest area.</w:t>
            </w:r>
          </w:p>
          <w:p>
            <w:r>
              <w:t xml:space="preserve"> </w:t>
            </w:r>
          </w:p>
          <w:p>
            <w:r>
              <w:t xml:space="preserve">More extensive guidelines are available in the </w:t>
            </w:r>
            <w:r>
              <w:rPr>
                <w:i/>
              </w:rPr>
              <w:t xml:space="preserve">Prostate cancer (radical prostatectomy) structured reporting protocol (2nd Ed.)</w:t>
            </w:r>
            <w:r>
              <w:t xml:space="preserve"> at the Royal College of Pathologists of Australasia website.</w:t>
            </w:r>
          </w:p>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2011. Facility Oncology Registry Data Standards: Revised for 2011. American College of Surgeons: Chicago.</w:t>
            </w:r>
          </w:p>
          <w:p>
            <w:pPr>
              <w:spacing w:after="160"/>
            </w:pPr>
            <w:r>
              <w:rPr>
                <w:rStyle w:val="row-content-rich-text"/>
              </w:rPr>
              <w:t xml:space="preserve">Humphrey PA 2004. Gleason grading and prognostic factors in carcinoma of the prostate. Modern pathology, 17(3):p292-306.</w:t>
            </w:r>
          </w:p>
          <w:p>
            <w:pPr/>
            <w:r>
              <w:rPr>
                <w:rStyle w:val="row-content-rich-text"/>
              </w:rPr>
              <w:t xml:space="preserve">Royal College of Pathologists of Australasia 2014. Prostate cancer (radical prostatectomy) structured reporting protocol (2nd Ed.). Royal College of Pathologists of Australasia: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w:t>
            </w:r>
            <w:hyperlink w:tooltip="The histopathological grade for prostate cancer outlining the differentiation between tumour tissue and normal prostate tissue. The Gleason score is assigned by a pathologist on assessment of specimens from radical prostatectomy or needle core biopsy.&#10;..." w:history="true" r:id="Rf06bea9baeb54b79">
              <w:r>
                <w:rPr>
                  <w:rStyle w:val="Hyperlink"/>
                  <w:b/>
                </w:rPr>
                <w:t xml:space="preserve">Gleason score</w:t>
              </w:r>
            </w:hyperlink>
            <w:r>
              <w:rPr>
                <w:rStyle w:val="row-content-rich-text"/>
              </w:rPr>
              <w:t xml:space="preserve"> through the use of the primary and secondary Gleason grades as assigned by a pathologist.</w:t>
            </w:r>
          </w:p>
          <w:p>
            <w:pPr>
              <w:spacing w:after="160"/>
            </w:pPr>
            <w:r>
              <w:rPr>
                <w:rStyle w:val="row-content-rich-text"/>
              </w:rPr>
              <w:t xml:space="preserve">Gleason score is a histopathological grade for prostate cancer, outlining the differentiation between tumour tissue and normal prostate tissue. A low Gleason score indicates that the cancer tissue is similar to normal prostate tissue and the tumour is less likely to spread; a high Gleason score indicates that the cancer tissue is very different from normal prostate tissue and the tumour is more likely to spread. </w:t>
            </w:r>
          </w:p>
          <w:p>
            <w:pPr/>
            <w:r>
              <w:rPr>
                <w:rStyle w:val="row-content-rich-text"/>
              </w:rPr>
              <w:t xml:space="preserve">More extensive guidelines are available in the Prostate cancer (radical prostatectomy) structured reporting protocol (2nd Ed.) at the Royal College of Pathologists of Australasia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sought from pathology reports or patient medical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Gleason score (or sum) is a prognostic indicator of prostate cancer which may be used to guide treatment and assess whether appropriate treatment protocols have been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2011. Facility Oncology Registry Data Standards: Revised for 2011. American College of Surgeons: Chicago.</w:t>
            </w:r>
          </w:p>
          <w:p>
            <w:pPr>
              <w:spacing w:after="160"/>
            </w:pPr>
            <w:r>
              <w:rPr>
                <w:rStyle w:val="row-content-rich-text"/>
              </w:rPr>
              <w:t xml:space="preserve">Humphrey PA 2004. Gleason grading and prognostic factors in carcinoma of the prostate. Modern pathology, 17(3), p292-306.</w:t>
            </w:r>
          </w:p>
          <w:p>
            <w:pPr/>
            <w:r>
              <w:rPr>
                <w:rStyle w:val="row-content-rich-text"/>
              </w:rPr>
              <w:t xml:space="preserve">Royal College of Pathologists of Australasia 2014. Prostate cancer (radical prostatectomy) structured reporting protocol (2nd Ed.). Royal College of Pathologists of Australasia: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fb0c29935317419b">
              <w:r>
                <w:rPr>
                  <w:rStyle w:val="Hyperlink"/>
                </w:rPr>
                <w:t xml:space="preserve">Person with cancer—histopathological grade, primary Gleason grade code N</w:t>
              </w:r>
            </w:hyperlink>
          </w:p>
          <w:p>
            <w:pPr>
              <w:spacing w:before="0" w:after="0"/>
            </w:pPr>
            <w:r>
              <w:rPr>
                <w:rStyle w:val="row-content"/>
                <w:color w:val="244061"/>
              </w:rPr>
              <w:t xml:space="preserve">       </w:t>
            </w:r>
            <w:hyperlink w:history="true" r:id="R2f6dfd47c93d4b85">
              <w:r>
                <w:rPr>
                  <w:rStyle w:val="Hyperlink"/>
                  <w:color w:val="244061"/>
                </w:rPr>
                <w:t xml:space="preserve">Health</w:t>
              </w:r>
            </w:hyperlink>
            <w:r>
              <w:rPr>
                <w:rStyle w:val="row-content"/>
                <w:color w:val="244061"/>
              </w:rPr>
              <w:t xml:space="preserve">, Standard 14/05/2015</w:t>
            </w:r>
          </w:p>
          <w:p>
            <w:r>
              <w:br/>
            </w:r>
            <w:r>
              <w:rPr>
                <w:rStyle w:val="row-content"/>
              </w:rPr>
              <w:t xml:space="preserve">Is formed using </w:t>
            </w:r>
            <w:hyperlink w:history="true" r:id="R4fadd4e662124b12">
              <w:r>
                <w:rPr>
                  <w:rStyle w:val="Hyperlink"/>
                </w:rPr>
                <w:t xml:space="preserve">Person with cancer—histopathological grade, secondary Gleason grade code N</w:t>
              </w:r>
            </w:hyperlink>
          </w:p>
          <w:p>
            <w:pPr>
              <w:spacing w:before="0" w:after="0"/>
            </w:pPr>
            <w:r>
              <w:rPr>
                <w:rStyle w:val="row-content"/>
                <w:color w:val="244061"/>
              </w:rPr>
              <w:t xml:space="preserve">       </w:t>
            </w:r>
            <w:hyperlink w:history="true" r:id="Rf3997f612b544aaf">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068445853a4587">
              <w:r>
                <w:rPr>
                  <w:rStyle w:val="Hyperlink"/>
                </w:rPr>
                <w:t xml:space="preserve">Prostate cancer (clinical) NBPDS</w:t>
              </w:r>
            </w:hyperlink>
          </w:p>
          <w:p>
            <w:pPr>
              <w:spacing w:before="0" w:after="0"/>
            </w:pPr>
            <w:r>
              <w:rPr>
                <w:rStyle w:val="row-content"/>
                <w:color w:val="244061"/>
              </w:rPr>
              <w:t xml:space="preserve">       </w:t>
            </w:r>
            <w:hyperlink w:history="true" r:id="R07cb4d59116f4ef2">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1023b45c53a446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436191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be99c255d04b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23b45c53a446f3" /><Relationship Type="http://schemas.openxmlformats.org/officeDocument/2006/relationships/header" Target="/word/header1.xml" Id="R7b1ad8be540c4b09" /><Relationship Type="http://schemas.openxmlformats.org/officeDocument/2006/relationships/settings" Target="/word/settings.xml" Id="R29cec221fa4f4b5f" /><Relationship Type="http://schemas.openxmlformats.org/officeDocument/2006/relationships/styles" Target="/word/styles.xml" Id="Rc11f1f4ba4e44eff" /><Relationship Type="http://schemas.openxmlformats.org/officeDocument/2006/relationships/hyperlink" Target="https://meteor.aihw.gov.au/RegistrationAuthority/12" TargetMode="External" Id="Rd4182971039d44b9" /><Relationship Type="http://schemas.openxmlformats.org/officeDocument/2006/relationships/hyperlink" Target="https://meteor.aihw.gov.au/content/598061" TargetMode="External" Id="Rc99abbfa967d4ba7" /><Relationship Type="http://schemas.openxmlformats.org/officeDocument/2006/relationships/hyperlink" Target="https://meteor.aihw.gov.au/content/288657" TargetMode="External" Id="Ra0513124748749ff" /><Relationship Type="http://schemas.openxmlformats.org/officeDocument/2006/relationships/hyperlink" Target="https://meteor.aihw.gov.au/content/436193" TargetMode="External" Id="Rd4cdffb580a24a63" /><Relationship Type="http://schemas.openxmlformats.org/officeDocument/2006/relationships/hyperlink" Target="https://meteor.aihw.gov.au/content/598061" TargetMode="External" Id="Rf06bea9baeb54b79" /><Relationship Type="http://schemas.openxmlformats.org/officeDocument/2006/relationships/hyperlink" Target="https://meteor.aihw.gov.au/content/392014" TargetMode="External" Id="Rfb0c29935317419b" /><Relationship Type="http://schemas.openxmlformats.org/officeDocument/2006/relationships/hyperlink" Target="https://meteor.aihw.gov.au/RegistrationAuthority/12" TargetMode="External" Id="R2f6dfd47c93d4b85" /><Relationship Type="http://schemas.openxmlformats.org/officeDocument/2006/relationships/hyperlink" Target="https://meteor.aihw.gov.au/content/436185" TargetMode="External" Id="R4fadd4e662124b12" /><Relationship Type="http://schemas.openxmlformats.org/officeDocument/2006/relationships/hyperlink" Target="https://meteor.aihw.gov.au/RegistrationAuthority/12" TargetMode="External" Id="Rf3997f612b544aaf" /><Relationship Type="http://schemas.openxmlformats.org/officeDocument/2006/relationships/hyperlink" Target="https://meteor.aihw.gov.au/content/481386" TargetMode="External" Id="Rca068445853a4587" /><Relationship Type="http://schemas.openxmlformats.org/officeDocument/2006/relationships/hyperlink" Target="https://meteor.aihw.gov.au/RegistrationAuthority/12" TargetMode="External" Id="R07cb4d59116f4ef2" /></Relationships>
</file>

<file path=word/_rels/header1.xml.rels>&#65279;<?xml version="1.0" encoding="utf-8"?><Relationships xmlns="http://schemas.openxmlformats.org/package/2006/relationships"><Relationship Type="http://schemas.openxmlformats.org/officeDocument/2006/relationships/image" Target="/media/image.png" Id="R0cbe99c255d04bd9" /></Relationships>
</file>