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d06a4b283a4e88" /></Relationships>
</file>

<file path=word/document.xml><?xml version="1.0" encoding="utf-8"?>
<w:document xmlns:r="http://schemas.openxmlformats.org/officeDocument/2006/relationships" xmlns:w="http://schemas.openxmlformats.org/wordprocessingml/2006/main">
  <w:body>
    <w:p>
      <w:pPr>
        <w:pStyle w:val="Title"/>
      </w:pPr>
      <w:r>
        <w:t>Colinet defined comorbidities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Colinet defined comorbidities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478e9c4275438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diseases or conditions present at lung cancer diagnosis that are related to non-small cell lung cancer as defined by Colinet and colleagues.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Cardiovascular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Neoplastic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Renal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Diabetes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Alcoholism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Tobacco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comorbidities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comorbidities are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Comorbidities are present but type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comorbid condition, as defined by the Colinet criteria, present in the patient at the time of diagnosis for lung cancer.</w:t>
            </w:r>
          </w:p>
          <w:p>
            <w:pPr>
              <w:spacing w:after="160"/>
            </w:pPr>
            <w:r>
              <w:rPr>
                <w:rStyle w:val="row-content-rich-text"/>
              </w:rPr>
              <w:t xml:space="preserve">The criteria were developed specifically for non-small cell lung cancer where comorbidities may be an important variable in treatment decisions and prognosis, however, record each comorbid condition for all lung cancers.</w:t>
            </w:r>
          </w:p>
          <w:p>
            <w:pPr>
              <w:spacing w:after="160"/>
            </w:pPr>
            <w:r>
              <w:rPr>
                <w:rStyle w:val="row-content-rich-text"/>
              </w:rPr>
              <w:t xml:space="preserve">Colinet criteria for comorbidities</w:t>
            </w:r>
          </w:p>
          <w:p>
            <w:pPr>
              <w:spacing w:after="160"/>
            </w:pPr>
            <w:r>
              <w:rPr>
                <w:rStyle w:val="row-content-rich-text"/>
              </w:rPr>
              <w:t xml:space="preserve">CODE 1   Cardiovascular</w:t>
            </w:r>
          </w:p>
          <w:p>
            <w:pPr>
              <w:spacing w:after="160"/>
            </w:pPr>
            <w:r>
              <w:rPr>
                <w:rStyle w:val="row-content-rich-text"/>
              </w:rPr>
              <w:t xml:space="preserve">Defined as the presence of one or more of the following:</w:t>
            </w:r>
          </w:p>
          <w:p>
            <w:pPr>
              <w:pStyle w:val="ListParagraph"/>
              <w:numPr>
                <w:ilvl w:val="0"/>
                <w:numId w:val="2"/>
              </w:numPr>
            </w:pPr>
            <w:r>
              <w:rPr>
                <w:rStyle w:val="row-content-rich-text"/>
              </w:rPr>
              <w:t xml:space="preserve">congestive heart failure,</w:t>
            </w:r>
          </w:p>
          <w:p>
            <w:pPr>
              <w:pStyle w:val="ListParagraph"/>
              <w:numPr>
                <w:ilvl w:val="0"/>
                <w:numId w:val="2"/>
              </w:numPr>
            </w:pPr>
            <w:r>
              <w:rPr>
                <w:rStyle w:val="row-content-rich-text"/>
              </w:rPr>
              <w:t xml:space="preserve">ischaemic cardiopathy with/without myocardial infarction,</w:t>
            </w:r>
          </w:p>
          <w:p>
            <w:pPr>
              <w:pStyle w:val="ListParagraph"/>
              <w:numPr>
                <w:ilvl w:val="0"/>
                <w:numId w:val="2"/>
              </w:numPr>
            </w:pPr>
            <w:r>
              <w:rPr>
                <w:rStyle w:val="row-content-rich-text"/>
              </w:rPr>
              <w:t xml:space="preserve">severe valvular cardiopathy,</w:t>
            </w:r>
          </w:p>
          <w:p>
            <w:pPr>
              <w:pStyle w:val="ListParagraph"/>
              <w:numPr>
                <w:ilvl w:val="0"/>
                <w:numId w:val="2"/>
              </w:numPr>
            </w:pPr>
            <w:r>
              <w:rPr>
                <w:rStyle w:val="row-content-rich-text"/>
              </w:rPr>
              <w:t xml:space="preserve">arrhythmia requiring chronic treatment,</w:t>
            </w:r>
          </w:p>
          <w:p>
            <w:pPr>
              <w:pStyle w:val="ListParagraph"/>
              <w:numPr>
                <w:ilvl w:val="0"/>
                <w:numId w:val="2"/>
              </w:numPr>
            </w:pPr>
            <w:r>
              <w:rPr>
                <w:rStyle w:val="row-content-rich-text"/>
              </w:rPr>
              <w:t xml:space="preserve">history of cerebrovascular disease,</w:t>
            </w:r>
          </w:p>
          <w:p>
            <w:pPr>
              <w:pStyle w:val="ListParagraph"/>
              <w:numPr>
                <w:ilvl w:val="0"/>
                <w:numId w:val="2"/>
              </w:numPr>
            </w:pPr>
            <w:r>
              <w:rPr>
                <w:rStyle w:val="row-content-rich-text"/>
              </w:rPr>
              <w:t xml:space="preserve">hypertension, and/or</w:t>
            </w:r>
          </w:p>
          <w:p>
            <w:pPr>
              <w:pStyle w:val="ListParagraph"/>
              <w:numPr>
                <w:ilvl w:val="0"/>
                <w:numId w:val="2"/>
              </w:numPr>
            </w:pPr>
            <w:r>
              <w:rPr>
                <w:rStyle w:val="row-content-rich-text"/>
              </w:rPr>
              <w:t xml:space="preserve">peripheral vascular disease</w:t>
            </w:r>
          </w:p>
          <w:p>
            <w:pPr>
              <w:spacing w:after="160"/>
            </w:pPr>
            <w:r>
              <w:rPr>
                <w:rStyle w:val="row-content-rich-text"/>
              </w:rPr>
              <w:t xml:space="preserve">CODE 2   Respiratory</w:t>
            </w:r>
          </w:p>
          <w:p>
            <w:pPr>
              <w:spacing w:after="160"/>
            </w:pPr>
            <w:r>
              <w:rPr>
                <w:rStyle w:val="row-content-rich-text"/>
              </w:rPr>
              <w:t xml:space="preserve">Defined as the presence of one or more of the following:</w:t>
            </w:r>
          </w:p>
          <w:p>
            <w:pPr>
              <w:pStyle w:val="ListParagraph"/>
              <w:numPr>
                <w:ilvl w:val="0"/>
                <w:numId w:val="3"/>
              </w:numPr>
            </w:pPr>
            <w:r>
              <w:rPr>
                <w:rStyle w:val="row-content-rich-text"/>
              </w:rPr>
              <w:t xml:space="preserve">history of tuberculosis,</w:t>
            </w:r>
          </w:p>
          <w:p>
            <w:pPr>
              <w:pStyle w:val="ListParagraph"/>
              <w:numPr>
                <w:ilvl w:val="0"/>
                <w:numId w:val="3"/>
              </w:numPr>
            </w:pPr>
            <w:r>
              <w:rPr>
                <w:rStyle w:val="row-content-rich-text"/>
              </w:rPr>
              <w:t xml:space="preserve">history of pleural effusion or pneumonia,</w:t>
            </w:r>
          </w:p>
          <w:p>
            <w:pPr>
              <w:pStyle w:val="ListParagraph"/>
              <w:numPr>
                <w:ilvl w:val="0"/>
                <w:numId w:val="3"/>
              </w:numPr>
            </w:pPr>
            <w:r>
              <w:rPr>
                <w:rStyle w:val="row-content-rich-text"/>
              </w:rPr>
              <w:t xml:space="preserve">asthma,</w:t>
            </w:r>
          </w:p>
          <w:p>
            <w:pPr>
              <w:pStyle w:val="ListParagraph"/>
              <w:numPr>
                <w:ilvl w:val="0"/>
                <w:numId w:val="3"/>
              </w:numPr>
            </w:pPr>
            <w:r>
              <w:rPr>
                <w:rStyle w:val="row-content-rich-text"/>
              </w:rPr>
              <w:t xml:space="preserve">pulmonary embolism,</w:t>
            </w:r>
          </w:p>
          <w:p>
            <w:pPr>
              <w:pStyle w:val="ListParagraph"/>
              <w:numPr>
                <w:ilvl w:val="0"/>
                <w:numId w:val="3"/>
              </w:numPr>
            </w:pPr>
            <w:r>
              <w:rPr>
                <w:rStyle w:val="row-content-rich-text"/>
              </w:rPr>
              <w:t xml:space="preserve">chronic pulmonary insufficiency (as defined by a chronic hypoxemia less than 60 mmHg, and/or</w:t>
            </w:r>
          </w:p>
          <w:p>
            <w:pPr>
              <w:pStyle w:val="ListParagraph"/>
              <w:numPr>
                <w:ilvl w:val="0"/>
                <w:numId w:val="3"/>
              </w:numPr>
            </w:pPr>
            <w:r>
              <w:rPr>
                <w:rStyle w:val="row-content-rich-text"/>
              </w:rPr>
              <w:t xml:space="preserve">chronic obstructive pulmonary disease (COPD) inducing a FEV1 less than 1.5l)</w:t>
            </w:r>
          </w:p>
          <w:p>
            <w:pPr>
              <w:spacing w:after="160"/>
            </w:pPr>
            <w:r>
              <w:rPr>
                <w:rStyle w:val="row-content-rich-text"/>
              </w:rPr>
              <w:t xml:space="preserve">CODE 3   Neoplastic</w:t>
            </w:r>
          </w:p>
          <w:p>
            <w:pPr>
              <w:spacing w:after="160"/>
            </w:pPr>
            <w:r>
              <w:rPr>
                <w:rStyle w:val="row-content-rich-text"/>
              </w:rPr>
              <w:t xml:space="preserve">Defined as a previous personal history of cancer excluding basal cell carcinoma of the skin and in situ carcinoma of the cervix.</w:t>
            </w:r>
          </w:p>
          <w:p>
            <w:pPr>
              <w:spacing w:after="160"/>
            </w:pPr>
            <w:r>
              <w:rPr>
                <w:rStyle w:val="row-content-rich-text"/>
              </w:rPr>
              <w:t xml:space="preserve">CODE 4   Renal insufficiency</w:t>
            </w:r>
          </w:p>
          <w:p>
            <w:pPr>
              <w:spacing w:after="160"/>
            </w:pPr>
            <w:r>
              <w:rPr>
                <w:rStyle w:val="row-content-rich-text"/>
              </w:rPr>
              <w:t xml:space="preserve">Defined as a creatinine clearance lower than 60 ml/min­.</w:t>
            </w:r>
          </w:p>
          <w:p>
            <w:pPr>
              <w:spacing w:after="160"/>
            </w:pPr>
            <w:r>
              <w:rPr>
                <w:rStyle w:val="row-content-rich-text"/>
              </w:rPr>
              <w:t xml:space="preserve">CODE 5   Diabetes mellitus</w:t>
            </w:r>
          </w:p>
          <w:p>
            <w:pPr>
              <w:spacing w:after="160"/>
            </w:pPr>
            <w:r>
              <w:rPr>
                <w:rStyle w:val="row-content-rich-text"/>
              </w:rPr>
              <w:t xml:space="preserve">Defined as diabetes treated with either oral hypoglycaemics or insulin.</w:t>
            </w:r>
          </w:p>
          <w:p>
            <w:pPr>
              <w:spacing w:after="160"/>
            </w:pPr>
            <w:r>
              <w:rPr>
                <w:rStyle w:val="row-content-rich-text"/>
              </w:rPr>
              <w:t xml:space="preserve">CODE 6   Alcoholism</w:t>
            </w:r>
          </w:p>
          <w:p>
            <w:pPr>
              <w:spacing w:after="160"/>
            </w:pPr>
            <w:r>
              <w:rPr>
                <w:rStyle w:val="row-content-rich-text"/>
              </w:rPr>
              <w:t xml:space="preserve">Defined as a daily consumption of:</w:t>
            </w:r>
          </w:p>
          <w:p>
            <w:pPr>
              <w:pStyle w:val="ListParagraph"/>
              <w:numPr>
                <w:ilvl w:val="0"/>
                <w:numId w:val="4"/>
              </w:numPr>
            </w:pPr>
            <w:r>
              <w:rPr>
                <w:rStyle w:val="row-content-rich-text"/>
              </w:rPr>
              <w:t xml:space="preserve">more than 80g of alcohol (8 standard drinks) for men</w:t>
            </w:r>
          </w:p>
          <w:p>
            <w:pPr>
              <w:pStyle w:val="ListParagraph"/>
              <w:numPr>
                <w:ilvl w:val="0"/>
                <w:numId w:val="4"/>
              </w:numPr>
            </w:pPr>
            <w:r>
              <w:rPr>
                <w:rStyle w:val="row-content-rich-text"/>
              </w:rPr>
              <w:t xml:space="preserve">more than 40g of alcohol (4 standard drinks) for women </w:t>
            </w:r>
          </w:p>
          <w:p>
            <w:pPr>
              <w:spacing w:after="160"/>
            </w:pPr>
            <w:r>
              <w:rPr>
                <w:rStyle w:val="row-content-rich-text"/>
              </w:rPr>
              <w:t xml:space="preserve">CODE 7   Tobacco consumption</w:t>
            </w:r>
          </w:p>
          <w:p>
            <w:pPr/>
            <w:r>
              <w:rPr>
                <w:rStyle w:val="row-content-rich-text"/>
              </w:rPr>
              <w:t xml:space="preserve">Defined as a lifelong consumption of an equivalent of at least 100 cigarettes.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Colinet system provides criteria to define comorbidities and a scoring system whereby each comorbidity is weighted and assigned a score, then scores are added to provide the Simplified Comorbidity Score (SCS). For instance, Colinet et al. 2005 found that an SCS greater than 9 was found to be an independent prognostic factor of poor outcome in NSCLC (non-small-cell lung cancer).</w:t>
            </w:r>
          </w:p>
          <w:p>
            <w:pPr/>
            <w:r>
              <w:rPr>
                <w:rStyle w:val="row-content-rich-text"/>
              </w:rPr>
              <w:t xml:space="preserve">For the purpose of this data item, record each comorbidity as defined by the Colinet criteria but do not score them.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Colinet, B; Jacot, W et al 2005. A new simplified comorbidity score as a prognostic factor in non-small-cell lung cancer patients: description and comparison with the Charlson’s index. British Journal of Cancer 93:1098-1105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348145360014a7b">
              <w:r>
                <w:rPr>
                  <w:rStyle w:val="Hyperlink"/>
                </w:rPr>
                <w:t xml:space="preserve">Person with cancer—comorbidities, Colinet defined comorbidities code N[N]</w:t>
              </w:r>
            </w:hyperlink>
          </w:p>
          <w:p>
            <w:pPr>
              <w:spacing w:before="0" w:after="0"/>
            </w:pPr>
            <w:r>
              <w:rPr>
                <w:rStyle w:val="row-content"/>
                <w:color w:val="244061"/>
              </w:rPr>
              <w:t xml:space="preserve">       </w:t>
            </w:r>
            <w:hyperlink w:history="true" r:id="R38faa625cd9944c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ccf89c800f5c49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432983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929b58695943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89c800f5c4975" /><Relationship Type="http://schemas.openxmlformats.org/officeDocument/2006/relationships/header" Target="/word/header1.xml" Id="Ra5268f31ad8e4e35" /><Relationship Type="http://schemas.openxmlformats.org/officeDocument/2006/relationships/settings" Target="/word/settings.xml" Id="R123da0c123454895" /><Relationship Type="http://schemas.openxmlformats.org/officeDocument/2006/relationships/styles" Target="/word/styles.xml" Id="Rf86af39656cc4f6d" /><Relationship Type="http://schemas.openxmlformats.org/officeDocument/2006/relationships/hyperlink" Target="https://meteor.aihw.gov.au/RegistrationAuthority/12" TargetMode="External" Id="R81478e9c42754388" /><Relationship Type="http://schemas.openxmlformats.org/officeDocument/2006/relationships/numbering" Target="/word/numbering.xml" Id="R92de7674a4ad46bc" /><Relationship Type="http://schemas.openxmlformats.org/officeDocument/2006/relationships/hyperlink" Target="https://meteor.aihw.gov.au/content/432994" TargetMode="External" Id="R2348145360014a7b" /><Relationship Type="http://schemas.openxmlformats.org/officeDocument/2006/relationships/hyperlink" Target="https://meteor.aihw.gov.au/RegistrationAuthority/12" TargetMode="External" Id="R38faa625cd9944c5" /></Relationships>
</file>

<file path=word/_rels/header1.xml.rels>&#65279;<?xml version="1.0" encoding="utf-8"?><Relationships xmlns="http://schemas.openxmlformats.org/package/2006/relationships"><Relationship Type="http://schemas.openxmlformats.org/officeDocument/2006/relationships/image" Target="/media/image.png" Id="R1a929b5869594329" /></Relationships>
</file>