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4b4b9e184544062"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24-CDEP participants and off-CDEP job placement, 2011</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24-CDEP participants and off-CDEP job placement,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24-CDEP participants and Off CDEP job placement,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425805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7693c3473aa4d73">
              <w:r>
                <w:rPr>
                  <w:rStyle w:val="Hyperlink"/>
                  <w:color w:val="244061"/>
                </w:rPr>
                <w:t xml:space="preserve">Indigenous</w:t>
              </w:r>
            </w:hyperlink>
            <w:r>
              <w:rPr>
                <w:rStyle w:val="row-content"/>
                <w:color w:val="244061"/>
              </w:rPr>
              <w:t xml:space="preserve">, Superseded 01/07/2012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two measures for this indicator:</w:t>
            </w:r>
          </w:p>
          <w:p>
            <w:pPr>
              <w:spacing w:after="160"/>
            </w:pPr>
            <w:r>
              <w:rPr>
                <w:rStyle w:val="row-content-rich-text"/>
              </w:rPr>
              <w:t xml:space="preserve">Measure (1a): Number and proportion of the Indigenous population participating in The Community Development and Employment Projects program (CDEP).</w:t>
            </w:r>
          </w:p>
          <w:p>
            <w:pPr/>
            <w:r>
              <w:rPr>
                <w:rStyle w:val="row-content-rich-text"/>
              </w:rPr>
              <w:t xml:space="preserve">Measure (1b): Proportion of CDEP participants moving into off-CDEP employment.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CDEP participation supports labour force participation for Indigenous persons in remote areas in particular. Progress measure for closing the gap target to </w:t>
            </w:r>
            <w:r>
              <w:rPr>
                <w:rStyle w:val="row-content-rich-text"/>
                <w:i/>
              </w:rPr>
              <w:t xml:space="preserve">halve the gap in Indigenous employment outcomes between Indigenous and non-Indigenous Australians within a decade</w:t>
            </w:r>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ddaa62266ad4dc3">
              <w:r>
                <w:rPr>
                  <w:rStyle w:val="Hyperlink"/>
                </w:rPr>
                <w:t xml:space="preserve">National Indigenous Reform Agreement (2011)</w:t>
              </w:r>
            </w:hyperlink>
          </w:p>
          <w:p>
            <w:pPr>
              <w:pStyle w:val="registration-status"/>
              <w:spacing w:before="0" w:after="0"/>
            </w:pPr>
            <w:hyperlink w:history="true" r:id="R24b7d94b20e7488c">
              <w:r>
                <w:rPr>
                  <w:rStyle w:val="Hyperlink"/>
                  <w:color w:val="244061"/>
                </w:rPr>
                <w:t xml:space="preserve">Indigenous</w:t>
              </w:r>
            </w:hyperlink>
            <w:r>
              <w:rPr>
                <w:rStyle w:val="row-content"/>
                <w:color w:val="244061"/>
              </w:rPr>
              <w:t xml:space="preserve">, Superseded 01/07/2012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8594223de0bb4c94">
              <w:r>
                <w:rPr>
                  <w:rStyle w:val="Hyperlink"/>
                </w:rPr>
                <w:t xml:space="preserve">Indigenous people of working age participate effectively in all sectors and at all levels of the labour market</w:t>
              </w:r>
            </w:hyperlink>
          </w:p>
          <w:p>
            <w:pPr>
              <w:pStyle w:val="registration-status"/>
              <w:spacing w:before="0" w:after="0"/>
            </w:pPr>
            <w:hyperlink w:history="true" r:id="Rdb51679bf4d04493">
              <w:r>
                <w:rPr>
                  <w:rStyle w:val="Hyperlink"/>
                  <w:color w:val="244061"/>
                </w:rPr>
                <w:t xml:space="preserve">Indigenous</w:t>
              </w:r>
            </w:hyperlink>
            <w:r>
              <w:rPr>
                <w:rStyle w:val="row-content"/>
                <w:color w:val="244061"/>
              </w:rPr>
              <w:t xml:space="preserve">, Standard 21/07/2010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Presentation: number and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w:t>
            </w:r>
            <w:r>
              <w:rPr>
                <w:rStyle w:val="row-content-rich-text"/>
              </w:rPr>
              <w:t xml:space="preserve">÷</w:t>
            </w:r>
            <w:r>
              <w:rPr>
                <w:rStyle w:val="row-content-rich-text"/>
              </w:rPr>
              <w:t xml:space="preserve">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Measure (1a): Total number of CDEP participants as at 30 June.</w:t>
            </w:r>
          </w:p>
          <w:p>
            <w:pPr/>
            <w:r>
              <w:rPr>
                <w:rStyle w:val="row-content-rich-text"/>
              </w:rPr>
              <w:t xml:space="preserve">Measure (1b): Total number of off-CDEP employment outcomes (over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CDEP participation</w:t>
            </w:r>
          </w:p>
          <w:p>
            <w:r>
              <w:rPr>
                <w:rStyle w:val="row-content"/>
                <w:b/>
              </w:rPr>
              <w:t xml:space="preserve">Data Source</w:t>
            </w:r>
          </w:p>
          <w:p>
            <w:hyperlink w:history="true" r:id="Rc4018e8b6e06471b">
              <w:r>
                <w:rPr>
                  <w:rStyle w:val="Hyperlink"/>
                </w:rPr>
                <w:t xml:space="preserve">CDEP Management Branch Administrative Data</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r>
              <w:rPr>
                <w:rStyle w:val="row-content"/>
              </w:rPr>
              <w:t xml:space="preserve">Off-CDEP employment outcomes</w:t>
            </w:r>
          </w:p>
          <w:p>
            <w:r>
              <w:rPr>
                <w:rStyle w:val="row-content"/>
                <w:b/>
              </w:rPr>
              <w:t xml:space="preserve">Data Source</w:t>
            </w:r>
          </w:p>
          <w:p>
            <w:hyperlink w:history="true" r:id="R46df395e821745a4">
              <w:r>
                <w:rPr>
                  <w:rStyle w:val="Hyperlink"/>
                </w:rPr>
                <w:t xml:space="preserve">CDEP Management Branch Administrative Data</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Measure (1a): Total number of Indigenous Australians of workforce age (15–64) as at 30 June.</w:t>
            </w:r>
          </w:p>
          <w:p>
            <w:pPr/>
            <w:r>
              <w:rPr>
                <w:rStyle w:val="row-content-rich-text"/>
              </w:rPr>
              <w:t xml:space="preserve">Measure (1b): Total number of CDEP participants (over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CDEP participation</w:t>
            </w:r>
          </w:p>
          <w:p>
            <w:r>
              <w:rPr>
                <w:rStyle w:val="row-content"/>
                <w:b/>
              </w:rPr>
              <w:t xml:space="preserve">Data Source</w:t>
            </w:r>
          </w:p>
          <w:p>
            <w:hyperlink w:history="true" r:id="Re017c7cf2cb54568">
              <w:r>
                <w:rPr>
                  <w:rStyle w:val="Hyperlink"/>
                </w:rPr>
                <w:t xml:space="preserve">CDEP Management Branch Administrative Data</w:t>
              </w:r>
            </w:hyperlink>
          </w:p>
          <w:p>
            <w:r>
              <w:rPr>
                <w:rStyle w:val="row-content"/>
                <w:b/>
              </w:rPr>
              <w:t xml:space="preserve">Guide for use</w:t>
            </w:r>
          </w:p>
          <w:p>
            <w:r>
              <w:rPr>
                <w:rStyle w:val="row-content"/>
              </w:rPr>
              <w:t xml:space="preserve">Data source type: Administrative by-product data</w:t>
            </w:r>
          </w:p>
          <w:p>
            <w:r>
              <w:rPr>
                <w:rStyle w:val="row-content"/>
              </w:rPr>
              <w:t xml:space="preserve">Data source for Measure 1b</w:t>
            </w:r>
          </w:p>
          <w:p>
            <w:r>
              <w:rPr>
                <w:rStyle w:val="row-content"/>
              </w:rPr>
              <w:t xml:space="preserve"> </w:t>
            </w:r>
          </w:p>
          <w:p>
            <w:r>
              <w:rPr>
                <w:rStyle w:val="row-content"/>
                <w:b/>
                <w:color w:val="000000"/>
              </w:rPr>
              <w:t xml:space="preserve">Data Element / Data Set</w:t>
            </w:r>
          </w:p>
          <w:p>
            <w:hyperlink w:history="true" r:id="R8b9c729edcc94887">
              <w:r>
                <w:rPr>
                  <w:rStyle w:val="Hyperlink"/>
                </w:rPr>
                <w:t xml:space="preserve">Person—age, total years N[NN]</w:t>
              </w:r>
            </w:hyperlink>
          </w:p>
          <w:p>
            <w:r>
              <w:rPr>
                <w:rStyle w:val="row-content"/>
                <w:b/>
              </w:rPr>
              <w:t xml:space="preserve">Data Source</w:t>
            </w:r>
          </w:p>
          <w:p>
            <w:hyperlink w:history="true" r:id="R07efe6871f3c4a95">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ERP is derived from Census, PES and assumptions on future fertility, mortality, net migration etc</w:t>
            </w:r>
          </w:p>
          <w:p>
            <w:r>
              <w:rPr>
                <w:rStyle w:val="row-content"/>
              </w:rPr>
              <w:t xml:space="preserve">Data source for Measure 1a</w:t>
            </w:r>
          </w:p>
          <w:p>
            <w:r>
              <w:rPr>
                <w:rStyle w:val="row-content"/>
              </w:rPr>
              <w:t xml:space="preserve"> </w:t>
            </w:r>
          </w:p>
          <w:p>
            <w:r>
              <w:rPr>
                <w:rStyle w:val="row-content"/>
                <w:b/>
                <w:color w:val="000000"/>
              </w:rPr>
              <w:t xml:space="preserve">Data Element / Data Set</w:t>
            </w:r>
          </w:p>
          <w:p>
            <w:hyperlink w:history="true" r:id="R6a182258042742d8">
              <w:r>
                <w:rPr>
                  <w:rStyle w:val="Hyperlink"/>
                </w:rPr>
                <w:t xml:space="preserve">Person—estimated resident population of Australia, total people N[N(7)]</w:t>
              </w:r>
            </w:hyperlink>
          </w:p>
          <w:p>
            <w:r>
              <w:rPr>
                <w:rStyle w:val="row-content"/>
                <w:b/>
              </w:rPr>
              <w:t xml:space="preserve">Data Source</w:t>
            </w:r>
          </w:p>
          <w:p>
            <w:hyperlink w:history="true" r:id="R4a8010f09ca64960">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ERP is derived from Census, Post-Enumeration Survey (PES) and assumptions on future fertility, mortality, net migration etc</w:t>
            </w:r>
          </w:p>
          <w:p>
            <w:r>
              <w:rPr>
                <w:rStyle w:val="row-content"/>
              </w:rPr>
              <w:t xml:space="preserve">Data source for Measure 1a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and state/territory by 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7d29f11c9d74abf">
              <w:r>
                <w:rPr>
                  <w:rStyle w:val="Hyperlink"/>
                </w:rPr>
                <w:t xml:space="preserve">Person—age, total years N[NN]</w:t>
              </w:r>
            </w:hyperlink>
          </w:p>
          <w:p>
            <w:r>
              <w:rPr>
                <w:rStyle w:val="row-content"/>
                <w:b/>
              </w:rPr>
              <w:t xml:space="preserve">Data Source</w:t>
            </w:r>
          </w:p>
          <w:p>
            <w:hyperlink w:history="true" r:id="Rf8536da594a54d09">
              <w:r>
                <w:rPr>
                  <w:rStyle w:val="Hyperlink"/>
                </w:rPr>
                <w:t xml:space="preserve">CDEP Management Branch Administrative Data</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c0b8e7daf85640ed">
              <w:r>
                <w:rPr>
                  <w:rStyle w:val="Hyperlink"/>
                </w:rPr>
                <w:t xml:space="preserve">Person—area of usual residence, geographical location code (ASGC 2008) NNNNN</w:t>
              </w:r>
            </w:hyperlink>
          </w:p>
          <w:p>
            <w:r>
              <w:rPr>
                <w:rStyle w:val="row-content"/>
                <w:b/>
              </w:rPr>
              <w:t xml:space="preserve">Data Source</w:t>
            </w:r>
          </w:p>
          <w:p>
            <w:hyperlink w:history="true" r:id="R242abb6ae3e64d55">
              <w:r>
                <w:rPr>
                  <w:rStyle w:val="Hyperlink"/>
                </w:rPr>
                <w:t xml:space="preserve">CDEP Management Branch Administrative Data</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2011 CRC report is 2009-10</w:t>
            </w:r>
          </w:p>
          <w:p>
            <w:pPr>
              <w:spacing w:after="160"/>
            </w:pPr>
            <w:r>
              <w:rPr>
                <w:rStyle w:val="row-content-rich-text"/>
              </w:rPr>
              <w:t xml:space="preserve">The CDEP proportion is a stock variable presented at a point-in-time in a way consistent with the ABS population estimate. The off-CDEP proportion is a flow variable presented over a time interval. Over this time interval, multiple off-CDEP employment and CDEP participation episodes can be recorded per participant. As such, the off-CDEP employment measures refer to exits and participations (vis-à-vis participants).</w:t>
            </w:r>
          </w:p>
          <w:p>
            <w:pPr>
              <w:spacing w:after="160"/>
            </w:pPr>
            <w:r>
              <w:rPr>
                <w:rStyle w:val="row-content-rich-text"/>
              </w:rPr>
              <w:t xml:space="preserve">From 2009-10, reporting for these measures will be split into the two sub-streams of CDEP (Work-Readiness Services and Community Development) following the CDEP restructure, effective from 1 July 2009.</w:t>
            </w:r>
          </w:p>
          <w:p>
            <w:pPr>
              <w:spacing w:after="160"/>
            </w:pPr>
            <w:r>
              <w:rPr>
                <w:rStyle w:val="row-content-rich-text"/>
              </w:rPr>
              <w:t xml:space="preserve">In the new CDEP structure beginning 1 July 2009, new participants can be part of two streams of assistance – Work-Readiness Services and Community Development. From 2009-10 the above measures will be provided for the two streams of assistance. This will be in addition to reporting the total number and proportions reported above. The rationale for this is that the policy reform may have an impact on the number of off-CDEP employment exits, possibly with proportionately more coming from the work-readiness stream. Reporting it by sub-streams will facilitate monitoring the impact of the policy change and ensure across-time comparability.</w:t>
            </w:r>
          </w:p>
          <w:p>
            <w:pPr/>
            <w:r>
              <w:rPr>
                <w:rStyle w:val="row-content-rich-text"/>
              </w:rPr>
              <w:t xml:space="preserve">Baseline year for this indicator is 2008; target year is 2018.</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0ee2db80b57b44fc">
              <w:r>
                <w:rPr>
                  <w:rStyle w:val="Hyperlink"/>
                </w:rPr>
                <w:t xml:space="preserve">Socioeconomic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72246125bf964b3f">
              <w:r>
                <w:rPr>
                  <w:rStyle w:val="Hyperlink"/>
                </w:rPr>
                <w:t xml:space="preserve">CDEP Management Branch Administrative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Department of Families, Housing, Community Services and Indigenous Affairs</w:t>
            </w:r>
          </w:p>
          <w:p>
            <w:r>
              <w:rPr>
                <w:rStyle w:val="row-content"/>
              </w:rPr>
              <w:t xml:space="preserve"> </w:t>
            </w:r>
          </w:p>
          <w:p>
            <w:r>
              <w:rPr>
                <w:rStyle w:val="row-content"/>
                <w:b/>
                <w:color w:val="000000"/>
              </w:rPr>
              <w:t xml:space="preserve">Data Source</w:t>
            </w:r>
          </w:p>
          <w:p>
            <w:hyperlink w:history="true" r:id="R89051a0879ad4473">
              <w:r>
                <w:rPr>
                  <w:rStyle w:val="Hyperlink"/>
                </w:rPr>
                <w:t xml:space="preserve">ABS Indigenous experimental estimates and projections (2001 Census-based)</w:t>
              </w:r>
            </w:hyperlink>
          </w:p>
          <w:p>
            <w:r>
              <w:rPr>
                <w:rStyle w:val="row-content"/>
                <w:b/>
              </w:rPr>
              <w:t xml:space="preserve">Frequency</w:t>
            </w:r>
          </w:p>
          <w:p>
            <w:r>
              <w:rPr>
                <w:rStyle w:val="row-content"/>
              </w:rPr>
              <w:t xml:space="preserve">Periodic</w:t>
            </w:r>
          </w:p>
          <w:p>
            <w:r>
              <w:rPr>
                <w:rStyle w:val="row-content"/>
                <w:b/>
              </w:rPr>
              <w:t xml:space="preserve">Data quality statement</w:t>
            </w:r>
          </w:p>
          <w:p>
            <w:hyperlink w:history="true" r:id="R363f034e88cd4ad1">
              <w:r>
                <w:rPr>
                  <w:rStyle w:val="Hyperlink"/>
                </w:rPr>
                <w:t xml:space="preserve">ABS Indigenous experimental estimates and projections, QS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Families, Housing, Community Services and Indigenous Affairs (FaHCSIA).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Measure: Long-term; Specification: Interim.</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5634295298d4c9f">
              <w:r>
                <w:rPr>
                  <w:rStyle w:val="Hyperlink"/>
                </w:rPr>
                <w:t xml:space="preserve">National Indigenous Reform Agreement: P24-CDEP participants and off-CDEP job placement, 2010</w:t>
              </w:r>
            </w:hyperlink>
          </w:p>
          <w:p>
            <w:pPr>
              <w:pStyle w:val="registration-status"/>
              <w:spacing w:before="0" w:after="0"/>
            </w:pPr>
            <w:hyperlink w:history="true" r:id="Red5eea549983419a">
              <w:r>
                <w:rPr>
                  <w:rStyle w:val="Hyperlink"/>
                  <w:color w:val="244061"/>
                </w:rPr>
                <w:t xml:space="preserve">Community Services (retired)</w:t>
              </w:r>
            </w:hyperlink>
            <w:r>
              <w:rPr>
                <w:rStyle w:val="row-content"/>
                <w:color w:val="244061"/>
              </w:rPr>
              <w:t xml:space="preserve">, Superseded 04/04/2011</w:t>
            </w:r>
          </w:p>
          <w:p>
            <w:r>
              <w:br/>
            </w:r>
            <w:r>
              <w:rPr>
                <w:rStyle w:val="row-content"/>
              </w:rPr>
              <w:t xml:space="preserve">Has been superseded by </w:t>
            </w:r>
            <w:hyperlink w:history="true" r:id="Rb920e7c6462142dc">
              <w:r>
                <w:rPr>
                  <w:rStyle w:val="Hyperlink"/>
                </w:rPr>
                <w:t xml:space="preserve">National Indigenous Reform Agreement: PI 24-CDEP participants and off-CDEP job placement, 2012</w:t>
              </w:r>
            </w:hyperlink>
          </w:p>
          <w:p>
            <w:pPr>
              <w:pStyle w:val="registration-status"/>
              <w:spacing w:before="0" w:after="0"/>
            </w:pPr>
            <w:hyperlink w:history="true" r:id="Re21076dcabef40b2">
              <w:r>
                <w:rPr>
                  <w:rStyle w:val="Hyperlink"/>
                  <w:color w:val="244061"/>
                </w:rPr>
                <w:t xml:space="preserve">Indigenous</w:t>
              </w:r>
            </w:hyperlink>
            <w:r>
              <w:rPr>
                <w:rStyle w:val="row-content"/>
                <w:color w:val="244061"/>
              </w:rPr>
              <w:t xml:space="preserve">, Superseded 13/06/2013</w:t>
            </w:r>
          </w:p>
          <w:p>
            <w:r>
              <w:br/>
            </w:r>
          </w:p>
        </w:tc>
      </w:tr>
    </w:tbl>
    <w:p>
      <w:r>
        <w:br/>
      </w:r>
    </w:p>
    <w:sectPr>
      <w:footerReference xmlns:r="http://schemas.openxmlformats.org/officeDocument/2006/relationships" w:type="default" r:id="R7911aa2f3cbc458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425805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7d2fa6ef46946e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911aa2f3cbc4582" /><Relationship Type="http://schemas.openxmlformats.org/officeDocument/2006/relationships/header" Target="/word/header1.xml" Id="R0adc6488385a4ffd" /><Relationship Type="http://schemas.openxmlformats.org/officeDocument/2006/relationships/settings" Target="/word/settings.xml" Id="R0c0fbb121c174755" /><Relationship Type="http://schemas.openxmlformats.org/officeDocument/2006/relationships/styles" Target="/word/styles.xml" Id="R38765a67d8184e08" /><Relationship Type="http://schemas.openxmlformats.org/officeDocument/2006/relationships/hyperlink" Target="https://meteor.aihw.gov.au/RegistrationAuthority/6" TargetMode="External" Id="Rd7693c3473aa4d73" /><Relationship Type="http://schemas.openxmlformats.org/officeDocument/2006/relationships/hyperlink" Target="https://meteor.aihw.gov.au/content/425730" TargetMode="External" Id="R3ddaa62266ad4dc3" /><Relationship Type="http://schemas.openxmlformats.org/officeDocument/2006/relationships/hyperlink" Target="https://meteor.aihw.gov.au/RegistrationAuthority/6" TargetMode="External" Id="R24b7d94b20e7488c" /><Relationship Type="http://schemas.openxmlformats.org/officeDocument/2006/relationships/hyperlink" Target="https://meteor.aihw.gov.au/content/396179" TargetMode="External" Id="R8594223de0bb4c94" /><Relationship Type="http://schemas.openxmlformats.org/officeDocument/2006/relationships/hyperlink" Target="https://meteor.aihw.gov.au/RegistrationAuthority/6" TargetMode="External" Id="Rdb51679bf4d04493" /><Relationship Type="http://schemas.openxmlformats.org/officeDocument/2006/relationships/hyperlink" Target="https://meteor.aihw.gov.au/content/400337" TargetMode="External" Id="Rc4018e8b6e06471b" /><Relationship Type="http://schemas.openxmlformats.org/officeDocument/2006/relationships/hyperlink" Target="https://meteor.aihw.gov.au/content/400337" TargetMode="External" Id="R46df395e821745a4" /><Relationship Type="http://schemas.openxmlformats.org/officeDocument/2006/relationships/hyperlink" Target="https://meteor.aihw.gov.au/content/400337" TargetMode="External" Id="Re017c7cf2cb54568" /><Relationship Type="http://schemas.openxmlformats.org/officeDocument/2006/relationships/hyperlink" Target="https://meteor.aihw.gov.au/content/303794" TargetMode="External" Id="R8b9c729edcc94887" /><Relationship Type="http://schemas.openxmlformats.org/officeDocument/2006/relationships/hyperlink" Target="https://meteor.aihw.gov.au/content/394092" TargetMode="External" Id="R07efe6871f3c4a95" /><Relationship Type="http://schemas.openxmlformats.org/officeDocument/2006/relationships/hyperlink" Target="https://meteor.aihw.gov.au/content/388656" TargetMode="External" Id="R6a182258042742d8" /><Relationship Type="http://schemas.openxmlformats.org/officeDocument/2006/relationships/hyperlink" Target="https://meteor.aihw.gov.au/content/394092" TargetMode="External" Id="R4a8010f09ca64960" /><Relationship Type="http://schemas.openxmlformats.org/officeDocument/2006/relationships/hyperlink" Target="https://meteor.aihw.gov.au/content/303794" TargetMode="External" Id="R37d29f11c9d74abf" /><Relationship Type="http://schemas.openxmlformats.org/officeDocument/2006/relationships/hyperlink" Target="https://meteor.aihw.gov.au/content/400337" TargetMode="External" Id="Rf8536da594a54d09" /><Relationship Type="http://schemas.openxmlformats.org/officeDocument/2006/relationships/hyperlink" Target="https://meteor.aihw.gov.au/content/377103" TargetMode="External" Id="Rc0b8e7daf85640ed" /><Relationship Type="http://schemas.openxmlformats.org/officeDocument/2006/relationships/hyperlink" Target="https://meteor.aihw.gov.au/content/400337" TargetMode="External" Id="R242abb6ae3e64d55" /><Relationship Type="http://schemas.openxmlformats.org/officeDocument/2006/relationships/hyperlink" Target="https://meteor.aihw.gov.au/content/410674" TargetMode="External" Id="R0ee2db80b57b44fc" /><Relationship Type="http://schemas.openxmlformats.org/officeDocument/2006/relationships/hyperlink" Target="https://meteor.aihw.gov.au/content/400337" TargetMode="External" Id="R72246125bf964b3f" /><Relationship Type="http://schemas.openxmlformats.org/officeDocument/2006/relationships/hyperlink" Target="https://meteor.aihw.gov.au/content/394092" TargetMode="External" Id="R89051a0879ad4473" /><Relationship Type="http://schemas.openxmlformats.org/officeDocument/2006/relationships/hyperlink" Target="https://meteor.aihw.gov.au/content/449223" TargetMode="External" Id="R363f034e88cd4ad1" /><Relationship Type="http://schemas.openxmlformats.org/officeDocument/2006/relationships/hyperlink" Target="https://meteor.aihw.gov.au/content/396637" TargetMode="External" Id="R25634295298d4c9f" /><Relationship Type="http://schemas.openxmlformats.org/officeDocument/2006/relationships/hyperlink" Target="https://meteor.aihw.gov.au/RegistrationAuthority/1" TargetMode="External" Id="Red5eea549983419a" /><Relationship Type="http://schemas.openxmlformats.org/officeDocument/2006/relationships/hyperlink" Target="https://meteor.aihw.gov.au/content/438724" TargetMode="External" Id="Rb920e7c6462142dc" /><Relationship Type="http://schemas.openxmlformats.org/officeDocument/2006/relationships/hyperlink" Target="https://meteor.aihw.gov.au/RegistrationAuthority/6" TargetMode="External" Id="Re21076dcabef40b2" /></Relationships>
</file>

<file path=word/_rels/header1.xml.rels>&#65279;<?xml version="1.0" encoding="utf-8"?><Relationships xmlns="http://schemas.openxmlformats.org/package/2006/relationships"><Relationship Type="http://schemas.openxmlformats.org/officeDocument/2006/relationships/image" Target="/media/image.png" Id="Rd7d2fa6ef46946e2" /></Relationships>
</file>