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c1f1a70bc9647b4"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01-Estimated life expectancy at birth, 2011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01-Estimated life expectancy at birth,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01-Estimated life expectancy at birth,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425733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d0a930a58d4a92">
              <w:r>
                <w:rPr>
                  <w:rStyle w:val="Hyperlink"/>
                  <w:color w:val="244061"/>
                </w:rPr>
                <w:t xml:space="preserve">Indigenous</w:t>
              </w:r>
            </w:hyperlink>
            <w:r>
              <w:rPr>
                <w:rStyle w:val="row-content"/>
                <w:color w:val="244061"/>
              </w:rPr>
              <w:t xml:space="preserve">, Superseded 01/07/2012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average number of years new born babies could expect to live, if they experienced the age/sex specific death rates that applied at their birth throughout their lifetimes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Life expectancy at birth is one of the most widely used broad measures of population health outcomes. It is the key component of measuring the objective to </w:t>
            </w:r>
            <w:r>
              <w:rPr>
                <w:rStyle w:val="row-content-rich-text"/>
                <w:i/>
              </w:rPr>
              <w:t xml:space="preserve">‘Close the life expectancy gap within a generation’.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9188bc1d6344807">
              <w:r>
                <w:rPr>
                  <w:rStyle w:val="Hyperlink"/>
                </w:rPr>
                <w:t xml:space="preserve">National Indigenous Reform Agreement (2011)</w:t>
              </w:r>
            </w:hyperlink>
          </w:p>
          <w:p>
            <w:pPr>
              <w:spacing w:before="0" w:after="0"/>
            </w:pPr>
            <w:r>
              <w:rPr>
                <w:rStyle w:val="row-content"/>
                <w:color w:val="244061"/>
              </w:rPr>
              <w:t xml:space="preserve">       </w:t>
            </w:r>
            <w:hyperlink w:history="true" r:id="R90bb797b85084579">
              <w:r>
                <w:rPr>
                  <w:rStyle w:val="Hyperlink"/>
                  <w:color w:val="244061"/>
                </w:rPr>
                <w:t xml:space="preserve">Indigenous</w:t>
              </w:r>
            </w:hyperlink>
            <w:r>
              <w:rPr>
                <w:rStyle w:val="row-content"/>
                <w:color w:val="244061"/>
              </w:rPr>
              <w:t xml:space="preserve">, Superseded 01/07/2012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0949118ae98942fc">
              <w:r>
                <w:rPr>
                  <w:rStyle w:val="Hyperlink"/>
                </w:rPr>
                <w:t xml:space="preserve">Indigenous Australians achieve health outcomes comparable to the broader population</w:t>
              </w:r>
            </w:hyperlink>
          </w:p>
          <w:p>
            <w:pPr>
              <w:spacing w:before="0" w:after="0"/>
            </w:pPr>
            <w:r>
              <w:rPr>
                <w:rStyle w:val="row-content"/>
                <w:color w:val="244061"/>
              </w:rPr>
              <w:t xml:space="preserve">       </w:t>
            </w:r>
            <w:hyperlink w:history="true" r:id="R0ed419153d3f4ef0">
              <w:r>
                <w:rPr>
                  <w:rStyle w:val="Hyperlink"/>
                  <w:color w:val="244061"/>
                </w:rPr>
                <w:t xml:space="preserve">Indigenous</w:t>
              </w:r>
            </w:hyperlink>
            <w:r>
              <w:rPr>
                <w:rStyle w:val="row-content"/>
                <w:color w:val="244061"/>
              </w:rPr>
              <w:t xml:space="preserve">, Superseded 25/02/2024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years of life expectancy at birth (including the gap between Indigenous and non-Indigenous) and confidence intervals (upper and lower limits).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measure is defined as: direct estimation of experimental life tables for Indigenous and non-Indigenous Australians, from which life expectancy at birth is obtained. Life tables are calculated using the estimated resident population at a single point in time and the number of deaths registered in the 3 years centred on that population point, with adjustments for incomplete identification of Indigenous deaths in death registrations.</w:t>
            </w:r>
          </w:p>
          <w:p>
            <w:pPr/>
            <w:r>
              <w:rPr>
                <w:rStyle w:val="row-content-rich-text"/>
              </w:rPr>
              <w:t xml:space="preserve">For more information, see </w:t>
            </w:r>
            <w:r>
              <w:rPr>
                <w:rStyle w:val="row-content-rich-text"/>
                <w:i/>
              </w:rPr>
              <w:t xml:space="preserve">Experimental Life Tables for Aboriginal and Torres Strait Islander Australians, Australia,</w:t>
            </w:r>
            <w:r>
              <w:rPr>
                <w:rStyle w:val="row-content-rich-text"/>
              </w:rPr>
              <w:t xml:space="preserve"> 2005-07.</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8d976964c0d4dad">
              <w:r>
                <w:rPr>
                  <w:rStyle w:val="Hyperlink"/>
                </w:rPr>
                <w:t xml:space="preserve">Person—date of birth, DDMMYYYY</w:t>
              </w:r>
            </w:hyperlink>
          </w:p>
          <w:p>
            <w:r>
              <w:rPr>
                <w:rStyle w:val="row-content"/>
                <w:b/>
              </w:rPr>
              <w:t xml:space="preserve">Data Source</w:t>
            </w:r>
          </w:p>
          <w:p>
            <w:hyperlink w:history="true" r:id="Rfc659c768064409b">
              <w:r>
                <w:rPr>
                  <w:rStyle w:val="Hyperlink"/>
                </w:rPr>
                <w:t xml:space="preserve">ABS Experimental Indigenous and Non-Indigenous Life Tables</w:t>
              </w:r>
            </w:hyperlink>
          </w:p>
          <w:p>
            <w:r>
              <w:rPr>
                <w:rStyle w:val="row-content"/>
                <w:b/>
              </w:rPr>
              <w:t xml:space="preserve">Guide for use</w:t>
            </w:r>
          </w:p>
          <w:p>
            <w:r>
              <w:rPr>
                <w:rStyle w:val="row-content"/>
              </w:rPr>
              <w:t xml:space="preserve">Data source type: Census, Post-enumeration survey (PES), administrative by-product data and the CDE data linkage study.</w:t>
            </w:r>
          </w:p>
          <w:p>
            <w:r>
              <w:rPr>
                <w:rStyle w:val="row-content"/>
                <w:b/>
                <w:color w:val="000000"/>
              </w:rPr>
              <w:t xml:space="preserve">Data Element / Data Set</w:t>
            </w:r>
          </w:p>
          <w:p>
            <w:hyperlink w:history="true" r:id="R76a371736d364006">
              <w:r>
                <w:rPr>
                  <w:rStyle w:val="Hyperlink"/>
                </w:rPr>
                <w:t xml:space="preserve">Person—date of death, DDMMYYYY</w:t>
              </w:r>
            </w:hyperlink>
          </w:p>
          <w:p>
            <w:r>
              <w:rPr>
                <w:rStyle w:val="row-content"/>
                <w:b/>
              </w:rPr>
              <w:t xml:space="preserve">Data Source</w:t>
            </w:r>
          </w:p>
          <w:p>
            <w:hyperlink w:history="true" r:id="Rd89758a9293b42cb">
              <w:r>
                <w:rPr>
                  <w:rStyle w:val="Hyperlink"/>
                </w:rPr>
                <w:t xml:space="preserve">ABS Experimental Indigenous and Non-Indigenous Life Tables</w:t>
              </w:r>
            </w:hyperlink>
          </w:p>
          <w:p>
            <w:r>
              <w:rPr>
                <w:rStyle w:val="row-content"/>
                <w:b/>
              </w:rPr>
              <w:t xml:space="preserve">Guide for use</w:t>
            </w:r>
          </w:p>
          <w:p>
            <w:r>
              <w:rPr>
                <w:rStyle w:val="row-content"/>
              </w:rPr>
              <w:t xml:space="preserve">Data source type: Census, PES, administrative by-product data and the CDE data linkage study.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84cbd17c6694f79">
              <w:r>
                <w:rPr>
                  <w:rStyle w:val="Hyperlink"/>
                </w:rPr>
                <w:t xml:space="preserve">Person—estimated resident population of Australia, total people N[N(7)]</w:t>
              </w:r>
            </w:hyperlink>
          </w:p>
          <w:p>
            <w:r>
              <w:rPr>
                <w:rStyle w:val="row-content"/>
                <w:b/>
              </w:rPr>
              <w:t xml:space="preserve">Data Source</w:t>
            </w:r>
          </w:p>
          <w:p>
            <w:hyperlink w:history="true" r:id="R8b2b1037b43d4f70">
              <w:r>
                <w:rPr>
                  <w:rStyle w:val="Hyperlink"/>
                </w:rPr>
                <w:t xml:space="preserve">ABS Experimental Indigenous and Non-Indigenous Life Tables</w:t>
              </w:r>
            </w:hyperlink>
          </w:p>
          <w:p>
            <w:r>
              <w:rPr>
                <w:rStyle w:val="row-content"/>
                <w:b/>
              </w:rPr>
              <w:t xml:space="preserve">Guide for use</w:t>
            </w:r>
          </w:p>
          <w:p>
            <w:r>
              <w:rPr>
                <w:rStyle w:val="row-content"/>
              </w:rPr>
              <w:t xml:space="preserve">Data source type: Census, PES, administrative by-product data and the CDE data linkage study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state/territory by: sex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ff8fe720c1d4394">
              <w:r>
                <w:rPr>
                  <w:rStyle w:val="Hyperlink"/>
                </w:rPr>
                <w:t xml:space="preserve">Person—sex, code N</w:t>
              </w:r>
            </w:hyperlink>
          </w:p>
          <w:p>
            <w:r>
              <w:rPr>
                <w:rStyle w:val="row-content"/>
                <w:b/>
              </w:rPr>
              <w:t xml:space="preserve">Data Source</w:t>
            </w:r>
          </w:p>
          <w:p>
            <w:hyperlink w:history="true" r:id="Rc4789f5136204ab5">
              <w:r>
                <w:rPr>
                  <w:rStyle w:val="Hyperlink"/>
                </w:rPr>
                <w:t xml:space="preserve">ABS Experimental Indigenous and Non-Indigenous Life Tables</w:t>
              </w:r>
            </w:hyperlink>
          </w:p>
          <w:p>
            <w:r>
              <w:rPr>
                <w:rStyle w:val="row-content"/>
                <w:b/>
              </w:rPr>
              <w:t xml:space="preserve">Guide for use</w:t>
            </w:r>
          </w:p>
          <w:p>
            <w:r>
              <w:rPr>
                <w:rStyle w:val="row-content"/>
              </w:rPr>
              <w:t xml:space="preserve">Data source type: Census, PES, administrative by-product data and the CDE data linkage study.</w:t>
            </w:r>
          </w:p>
          <w:p>
            <w:r>
              <w:rPr>
                <w:rStyle w:val="row-content"/>
                <w:b/>
                <w:color w:val="000000"/>
              </w:rPr>
              <w:t xml:space="preserve">Data Element / Data Set</w:t>
            </w:r>
          </w:p>
          <w:p>
            <w:hyperlink w:history="true" r:id="R66f10515d37548e4">
              <w:r>
                <w:rPr>
                  <w:rStyle w:val="Hyperlink"/>
                </w:rPr>
                <w:t xml:space="preserve">Person—Indigenous status, code N</w:t>
              </w:r>
            </w:hyperlink>
          </w:p>
          <w:p>
            <w:r>
              <w:rPr>
                <w:rStyle w:val="row-content"/>
                <w:b/>
              </w:rPr>
              <w:t xml:space="preserve">Data Source</w:t>
            </w:r>
          </w:p>
          <w:p>
            <w:hyperlink w:history="true" r:id="R39c9d4b972ac4d7b">
              <w:r>
                <w:rPr>
                  <w:rStyle w:val="Hyperlink"/>
                </w:rPr>
                <w:t xml:space="preserve">ABS Experimental Indigenous and Non-Indigenous Life Tables</w:t>
              </w:r>
            </w:hyperlink>
          </w:p>
          <w:p>
            <w:r>
              <w:rPr>
                <w:rStyle w:val="row-content"/>
                <w:b/>
              </w:rPr>
              <w:t xml:space="preserve">Guide for use</w:t>
            </w:r>
          </w:p>
          <w:p>
            <w:r>
              <w:rPr>
                <w:rStyle w:val="row-content"/>
              </w:rPr>
              <w:t xml:space="preserve">Data source type: Census, PES, administrative by-product data and the CDE data linkage study.</w:t>
            </w:r>
          </w:p>
          <w:p>
            <w:r>
              <w:rPr>
                <w:rStyle w:val="row-content"/>
                <w:b/>
                <w:color w:val="000000"/>
              </w:rPr>
              <w:t xml:space="preserve">Data Element / Data Set</w:t>
            </w:r>
          </w:p>
          <w:p>
            <w:hyperlink w:history="true" r:id="Rd96d1ca60dbb42d9">
              <w:r>
                <w:rPr>
                  <w:rStyle w:val="Hyperlink"/>
                </w:rPr>
                <w:t xml:space="preserve">Person—area of usual residence, geographical location code (ASGC 2006) NNNNN</w:t>
              </w:r>
            </w:hyperlink>
          </w:p>
          <w:p>
            <w:r>
              <w:rPr>
                <w:rStyle w:val="row-content"/>
                <w:b/>
              </w:rPr>
              <w:t xml:space="preserve">Data Source</w:t>
            </w:r>
          </w:p>
          <w:p>
            <w:hyperlink w:history="true" r:id="R0e945483182840ed">
              <w:r>
                <w:rPr>
                  <w:rStyle w:val="Hyperlink"/>
                </w:rPr>
                <w:t xml:space="preserve">ABS Experimental Indigenous and Non-Indigenous Life Tables</w:t>
              </w:r>
            </w:hyperlink>
          </w:p>
          <w:p>
            <w:r>
              <w:rPr>
                <w:rStyle w:val="row-content"/>
                <w:b/>
              </w:rPr>
              <w:t xml:space="preserve">Guide for use</w:t>
            </w:r>
          </w:p>
          <w:p>
            <w:r>
              <w:rPr>
                <w:rStyle w:val="row-content"/>
              </w:rPr>
              <w:t xml:space="preserve">Data source type: Census, PES, administrative by-product data and the CDE data linkage study.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2011 CRC report: 2005-2007.</w:t>
            </w:r>
          </w:p>
          <w:p>
            <w:pPr>
              <w:spacing w:after="160"/>
            </w:pPr>
            <w:r>
              <w:rPr>
                <w:rStyle w:val="row-content-rich-text"/>
              </w:rPr>
              <w:t xml:space="preserve">Indigenous estimates of life expectancy not produced for Victoria, South Australia, Tasmania or ACT due to the small number of Indigenous deaths reported in these jurisdictions.</w:t>
            </w:r>
          </w:p>
          <w:p>
            <w:pPr/>
            <w:r>
              <w:rPr>
                <w:rStyle w:val="row-content-rich-text"/>
              </w:rPr>
              <w:t xml:space="preserve">Baseline year for this indicator is 2006; target year is 2031.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e8d6690d1b3485d">
              <w:r>
                <w:rPr>
                  <w:rStyle w:val="Hyperlink"/>
                </w:rPr>
                <w:t xml:space="preserve">Life Expectancy &amp; Wellbeing</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52577ce22304d99">
              <w:r>
                <w:rPr>
                  <w:rStyle w:val="Hyperlink"/>
                </w:rPr>
                <w:t xml:space="preserve">ABS Experimental Indigenous and Non-Indigenous Life Tables</w:t>
              </w:r>
            </w:hyperlink>
          </w:p>
          <w:p>
            <w:r>
              <w:rPr>
                <w:rStyle w:val="row-content"/>
                <w:b/>
              </w:rPr>
              <w:t xml:space="preserve">Frequency</w:t>
            </w:r>
          </w:p>
          <w:p>
            <w:r>
              <w:rPr>
                <w:rStyle w:val="row-content"/>
              </w:rPr>
              <w:t xml:space="preserve">5 yearly</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a45876eb9764ef2">
              <w:r>
                <w:rPr>
                  <w:rStyle w:val="Hyperlink"/>
                </w:rPr>
                <w:t xml:space="preserve">National Indigenous Reform Agreement: P01-Estimated life expectancy at birth, 2010</w:t>
              </w:r>
            </w:hyperlink>
          </w:p>
          <w:p>
            <w:pPr>
              <w:spacing w:before="0" w:after="0"/>
            </w:pPr>
            <w:r>
              <w:rPr>
                <w:rStyle w:val="row-content"/>
                <w:color w:val="244061"/>
              </w:rPr>
              <w:t xml:space="preserve">       </w:t>
            </w:r>
            <w:hyperlink w:history="true" r:id="R334c5e675e064b63">
              <w:r>
                <w:rPr>
                  <w:rStyle w:val="Hyperlink"/>
                  <w:color w:val="244061"/>
                </w:rPr>
                <w:t xml:space="preserve">Community Services (retired)</w:t>
              </w:r>
            </w:hyperlink>
            <w:r>
              <w:rPr>
                <w:rStyle w:val="row-content"/>
                <w:color w:val="244061"/>
              </w:rPr>
              <w:t xml:space="preserve">, Superseded 04/04/2011</w:t>
            </w:r>
          </w:p>
          <w:p>
            <w:r>
              <w:br/>
            </w:r>
            <w:r>
              <w:rPr>
                <w:rStyle w:val="row-content"/>
              </w:rPr>
              <w:t xml:space="preserve">Has been superseded by </w:t>
            </w:r>
            <w:hyperlink w:history="true" r:id="Rffd34e6d12e24e9a">
              <w:r>
                <w:rPr>
                  <w:rStyle w:val="Hyperlink"/>
                </w:rPr>
                <w:t xml:space="preserve">National Indigenous Reform Agreement: PI 01-Estimated life expectancy at birth, 2012</w:t>
              </w:r>
            </w:hyperlink>
          </w:p>
          <w:p>
            <w:pPr>
              <w:spacing w:before="0" w:after="0"/>
            </w:pPr>
            <w:r>
              <w:rPr>
                <w:rStyle w:val="row-content"/>
                <w:color w:val="244061"/>
              </w:rPr>
              <w:t xml:space="preserve">       </w:t>
            </w:r>
            <w:hyperlink w:history="true" r:id="R8578450d23314e4b">
              <w:r>
                <w:rPr>
                  <w:rStyle w:val="Hyperlink"/>
                  <w:color w:val="244061"/>
                </w:rPr>
                <w:t xml:space="preserve">Indigenous</w:t>
              </w:r>
            </w:hyperlink>
            <w:r>
              <w:rPr>
                <w:rStyle w:val="row-content"/>
                <w:color w:val="244061"/>
              </w:rPr>
              <w:t xml:space="preserve">, Superseded 13/06/2013</w:t>
            </w:r>
          </w:p>
          <w:p>
            <w:r>
              <w:br/>
            </w:r>
            <w:r>
              <w:rPr>
                <w:rStyle w:val="row-content"/>
              </w:rPr>
              <w:t xml:space="preserve">See also </w:t>
            </w:r>
            <w:hyperlink w:history="true" r:id="R64aee11bce3e4b5e">
              <w:r>
                <w:rPr>
                  <w:rStyle w:val="Hyperlink"/>
                </w:rPr>
                <w:t xml:space="preserve">National Healthcare Agreement: PB 08-Close the life expectancy gap for Indigenous Australians within a generation, 2011</w:t>
              </w:r>
            </w:hyperlink>
          </w:p>
          <w:p>
            <w:pPr>
              <w:spacing w:before="0" w:after="0"/>
            </w:pPr>
            <w:r>
              <w:rPr>
                <w:rStyle w:val="row-content"/>
                <w:color w:val="244061"/>
              </w:rPr>
              <w:t xml:space="preserve">       </w:t>
            </w:r>
            <w:hyperlink w:history="true" r:id="R69b6772852f74ed4">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35e97eb2af204ff2">
              <w:r>
                <w:rPr>
                  <w:rStyle w:val="Hyperlink"/>
                </w:rPr>
                <w:t xml:space="preserve">National Healthcare Agreement: PI 18-Life expectancy, 2011</w:t>
              </w:r>
            </w:hyperlink>
          </w:p>
          <w:p>
            <w:pPr>
              <w:spacing w:before="0" w:after="0"/>
            </w:pPr>
            <w:r>
              <w:rPr>
                <w:rStyle w:val="row-content"/>
                <w:color w:val="244061"/>
              </w:rPr>
              <w:t xml:space="preserve">       </w:t>
            </w:r>
            <w:hyperlink w:history="true" r:id="Re8646b07f9d14d34">
              <w:r>
                <w:rPr>
                  <w:rStyle w:val="Hyperlink"/>
                  <w:color w:val="244061"/>
                </w:rPr>
                <w:t xml:space="preserve">Health</w:t>
              </w:r>
            </w:hyperlink>
            <w:r>
              <w:rPr>
                <w:rStyle w:val="row-content"/>
                <w:color w:val="244061"/>
              </w:rPr>
              <w:t xml:space="preserve">, Superseded 30/10/2011</w:t>
            </w:r>
          </w:p>
          <w:p>
            <w:r>
              <w:br/>
            </w:r>
          </w:p>
        </w:tc>
      </w:tr>
    </w:tbl>
    <w:p>
      <w:r>
        <w:br/>
      </w:r>
    </w:p>
    <w:sectPr>
      <w:footerReference xmlns:r="http://schemas.openxmlformats.org/officeDocument/2006/relationships" w:type="default" r:id="R76bcc7f9a7bf47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425733</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0abd66b83c4498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6bcc7f9a7bf47bf" /><Relationship Type="http://schemas.openxmlformats.org/officeDocument/2006/relationships/header" Target="/word/header1.xml" Id="Rc68323e5f9fc45c1" /><Relationship Type="http://schemas.openxmlformats.org/officeDocument/2006/relationships/settings" Target="/word/settings.xml" Id="Re145cd05ce074637" /><Relationship Type="http://schemas.openxmlformats.org/officeDocument/2006/relationships/styles" Target="/word/styles.xml" Id="R9a2a1f3d1a264cb1" /><Relationship Type="http://schemas.openxmlformats.org/officeDocument/2006/relationships/hyperlink" Target="https://meteor.aihw.gov.au/RegistrationAuthority/6" TargetMode="External" Id="Re2d0a930a58d4a92" /><Relationship Type="http://schemas.openxmlformats.org/officeDocument/2006/relationships/hyperlink" Target="https://meteor.aihw.gov.au/content/425730" TargetMode="External" Id="R49188bc1d6344807" /><Relationship Type="http://schemas.openxmlformats.org/officeDocument/2006/relationships/hyperlink" Target="https://meteor.aihw.gov.au/RegistrationAuthority/6" TargetMode="External" Id="R90bb797b85084579" /><Relationship Type="http://schemas.openxmlformats.org/officeDocument/2006/relationships/hyperlink" Target="https://meteor.aihw.gov.au/content/396115" TargetMode="External" Id="R0949118ae98942fc" /><Relationship Type="http://schemas.openxmlformats.org/officeDocument/2006/relationships/hyperlink" Target="https://meteor.aihw.gov.au/RegistrationAuthority/6" TargetMode="External" Id="R0ed419153d3f4ef0" /><Relationship Type="http://schemas.openxmlformats.org/officeDocument/2006/relationships/hyperlink" Target="https://meteor.aihw.gov.au/content/287007" TargetMode="External" Id="Rf8d976964c0d4dad" /><Relationship Type="http://schemas.openxmlformats.org/officeDocument/2006/relationships/hyperlink" Target="https://meteor.aihw.gov.au/content/396210" TargetMode="External" Id="Rfc659c768064409b" /><Relationship Type="http://schemas.openxmlformats.org/officeDocument/2006/relationships/hyperlink" Target="https://meteor.aihw.gov.au/content/287305" TargetMode="External" Id="R76a371736d364006" /><Relationship Type="http://schemas.openxmlformats.org/officeDocument/2006/relationships/hyperlink" Target="https://meteor.aihw.gov.au/content/396210" TargetMode="External" Id="Rd89758a9293b42cb" /><Relationship Type="http://schemas.openxmlformats.org/officeDocument/2006/relationships/hyperlink" Target="https://meteor.aihw.gov.au/content/388656" TargetMode="External" Id="Rd84cbd17c6694f79" /><Relationship Type="http://schemas.openxmlformats.org/officeDocument/2006/relationships/hyperlink" Target="https://meteor.aihw.gov.au/content/396210" TargetMode="External" Id="R8b2b1037b43d4f70" /><Relationship Type="http://schemas.openxmlformats.org/officeDocument/2006/relationships/hyperlink" Target="https://meteor.aihw.gov.au/content/287316" TargetMode="External" Id="R1ff8fe720c1d4394" /><Relationship Type="http://schemas.openxmlformats.org/officeDocument/2006/relationships/hyperlink" Target="https://meteor.aihw.gov.au/content/396210" TargetMode="External" Id="Rc4789f5136204ab5" /><Relationship Type="http://schemas.openxmlformats.org/officeDocument/2006/relationships/hyperlink" Target="https://meteor.aihw.gov.au/content/291036" TargetMode="External" Id="R66f10515d37548e4" /><Relationship Type="http://schemas.openxmlformats.org/officeDocument/2006/relationships/hyperlink" Target="https://meteor.aihw.gov.au/content/396210" TargetMode="External" Id="R39c9d4b972ac4d7b" /><Relationship Type="http://schemas.openxmlformats.org/officeDocument/2006/relationships/hyperlink" Target="https://meteor.aihw.gov.au/content/341800" TargetMode="External" Id="Rd96d1ca60dbb42d9" /><Relationship Type="http://schemas.openxmlformats.org/officeDocument/2006/relationships/hyperlink" Target="https://meteor.aihw.gov.au/content/396210" TargetMode="External" Id="R0e945483182840ed" /><Relationship Type="http://schemas.openxmlformats.org/officeDocument/2006/relationships/hyperlink" Target="https://meteor.aihw.gov.au/content/410670" TargetMode="External" Id="R5e8d6690d1b3485d" /><Relationship Type="http://schemas.openxmlformats.org/officeDocument/2006/relationships/hyperlink" Target="https://meteor.aihw.gov.au/content/396210" TargetMode="External" Id="R652577ce22304d99" /><Relationship Type="http://schemas.openxmlformats.org/officeDocument/2006/relationships/hyperlink" Target="https://meteor.aihw.gov.au/content/396100" TargetMode="External" Id="Rda45876eb9764ef2" /><Relationship Type="http://schemas.openxmlformats.org/officeDocument/2006/relationships/hyperlink" Target="https://meteor.aihw.gov.au/RegistrationAuthority/1" TargetMode="External" Id="R334c5e675e064b63" /><Relationship Type="http://schemas.openxmlformats.org/officeDocument/2006/relationships/hyperlink" Target="https://meteor.aihw.gov.au/content/438556" TargetMode="External" Id="Rffd34e6d12e24e9a" /><Relationship Type="http://schemas.openxmlformats.org/officeDocument/2006/relationships/hyperlink" Target="https://meteor.aihw.gov.au/RegistrationAuthority/6" TargetMode="External" Id="R8578450d23314e4b" /><Relationship Type="http://schemas.openxmlformats.org/officeDocument/2006/relationships/hyperlink" Target="https://meteor.aihw.gov.au/content/429190" TargetMode="External" Id="R64aee11bce3e4b5e" /><Relationship Type="http://schemas.openxmlformats.org/officeDocument/2006/relationships/hyperlink" Target="https://meteor.aihw.gov.au/RegistrationAuthority/12" TargetMode="External" Id="R69b6772852f74ed4" /><Relationship Type="http://schemas.openxmlformats.org/officeDocument/2006/relationships/hyperlink" Target="https://meteor.aihw.gov.au/content/421657" TargetMode="External" Id="R35e97eb2af204ff2" /><Relationship Type="http://schemas.openxmlformats.org/officeDocument/2006/relationships/hyperlink" Target="https://meteor.aihw.gov.au/RegistrationAuthority/12" TargetMode="External" Id="Re8646b07f9d14d34" /></Relationships>
</file>

<file path=word/_rels/header1.xml.rels>&#65279;<?xml version="1.0" encoding="utf-8"?><Relationships xmlns="http://schemas.openxmlformats.org/package/2006/relationships"><Relationship Type="http://schemas.openxmlformats.org/officeDocument/2006/relationships/image" Target="/media/image.png" Id="R60abd66b83c44980" /></Relationships>
</file>