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829ffec2034b9e"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d60cfb2d74d8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e02883b1df4cab">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ac6ac95fea4057">
              <w:r>
                <w:rPr>
                  <w:rStyle w:val="Hyperlink"/>
                </w:rPr>
                <w:t xml:space="preserve">Total millimetres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pStyle w:val="ListParagraph"/>
              <w:numPr>
                <w:ilvl w:val="0"/>
                <w:numId w:val="2"/>
              </w:numPr>
            </w:pPr>
            <w:r>
              <w:rPr>
                <w:rStyle w:val="row-content-rich-text"/>
              </w:rPr>
              <w:t xml:space="preserve">Breast cancer or other solid neoplasms - the largest tumour dimension, measured to a precision of 1mm</w:t>
            </w:r>
          </w:p>
          <w:p>
            <w:pPr>
              <w:pStyle w:val="ListParagraph"/>
              <w:numPr>
                <w:ilvl w:val="0"/>
                <w:numId w:val="2"/>
              </w:numPr>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pStyle w:val="ListParagraph"/>
              <w:numPr>
                <w:ilvl w:val="0"/>
                <w:numId w:val="3"/>
              </w:numPr>
            </w:pPr>
            <w:r>
              <w:rPr>
                <w:rStyle w:val="row-content-rich-text"/>
              </w:rPr>
              <w:t xml:space="preserve">Only record measured size if stated, otherwise record size as unknown. Do not attempt to estimate size from descriptions of the tumour, such as 'tumour occupying three quarters of tissue'</w:t>
            </w:r>
          </w:p>
          <w:p>
            <w:pPr>
              <w:pStyle w:val="ListParagraph"/>
              <w:numPr>
                <w:ilvl w:val="0"/>
                <w:numId w:val="3"/>
              </w:numPr>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pStyle w:val="ListParagraph"/>
              <w:numPr>
                <w:ilvl w:val="0"/>
                <w:numId w:val="4"/>
              </w:numPr>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pStyle w:val="ListParagraph"/>
              <w:numPr>
                <w:ilvl w:val="0"/>
                <w:numId w:val="4"/>
              </w:numPr>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pStyle w:val="ListParagraph"/>
              <w:numPr>
                <w:ilvl w:val="0"/>
                <w:numId w:val="5"/>
              </w:numPr>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pStyle w:val="ListParagraph"/>
              <w:numPr>
                <w:ilvl w:val="0"/>
                <w:numId w:val="6"/>
              </w:numPr>
            </w:pPr>
            <w:r>
              <w:rPr>
                <w:rStyle w:val="row-content-rich-text"/>
              </w:rPr>
              <w:t xml:space="preserve">If only macroscopic size is given, record this value</w:t>
            </w:r>
          </w:p>
          <w:p>
            <w:pPr>
              <w:pStyle w:val="ListParagraph"/>
              <w:numPr>
                <w:ilvl w:val="0"/>
                <w:numId w:val="6"/>
              </w:numPr>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pStyle w:val="ListParagraph"/>
              <w:numPr>
                <w:ilvl w:val="0"/>
                <w:numId w:val="7"/>
              </w:numPr>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topography code (ICD-O-3) ANN.N.</w:t>
            </w:r>
          </w:p>
          <w:p>
            <w:pPr>
              <w:spacing w:after="160"/>
            </w:pPr>
            <w:r>
              <w:rPr>
                <w:rStyle w:val="row-content-rich-text"/>
              </w:rPr>
              <w:t xml:space="preserve">Invasive tumours with an in situ component:</w:t>
            </w:r>
          </w:p>
          <w:p>
            <w:pPr>
              <w:pStyle w:val="ListParagraph"/>
              <w:numPr>
                <w:ilvl w:val="0"/>
                <w:numId w:val="8"/>
              </w:numPr>
            </w:pPr>
            <w:r>
              <w:rPr>
                <w:rStyle w:val="row-content-rich-text"/>
              </w:rPr>
              <w:t xml:space="preserve">When an invasive tumour contains an in situ component, only record the size of the invasive component as stated</w:t>
            </w:r>
          </w:p>
          <w:p>
            <w:pPr>
              <w:pStyle w:val="ListParagraph"/>
              <w:numPr>
                <w:ilvl w:val="0"/>
                <w:numId w:val="8"/>
              </w:numPr>
            </w:pPr>
            <w:r>
              <w:rPr>
                <w:rStyle w:val="row-content-rich-text"/>
              </w:rPr>
              <w:t xml:space="preserve">If the size of the invasive tumour is not recorded separately to the in 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pStyle w:val="ListParagraph"/>
              <w:numPr>
                <w:ilvl w:val="0"/>
                <w:numId w:val="9"/>
              </w:numPr>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pStyle w:val="ListParagraph"/>
              <w:numPr>
                <w:ilvl w:val="0"/>
                <w:numId w:val="10"/>
              </w:numPr>
            </w:pPr>
            <w:r>
              <w:rPr>
                <w:rStyle w:val="row-content-rich-text"/>
              </w:rPr>
              <w:t xml:space="preserve">Bilateral tumours are recorded as two separate primary tumours each having their own size (and other data elements). </w:t>
            </w:r>
          </w:p>
          <w:p>
            <w:pPr>
              <w:spacing w:after="160"/>
            </w:pPr>
            <w:r>
              <w:rPr>
                <w:rStyle w:val="row-content-rich-text"/>
              </w:rPr>
              <w:t xml:space="preserve">Multifocal tumours with different morphology:</w:t>
            </w:r>
          </w:p>
          <w:p>
            <w:pPr>
              <w:pStyle w:val="ListParagraph"/>
              <w:numPr>
                <w:ilvl w:val="0"/>
                <w:numId w:val="11"/>
              </w:numPr>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the largest dimension of solid neoplasms is collected for patient management, population cancer statistics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&amp; Adamo M (Editors) 2007. SEER Program Coding and Staging Manual 2007. MD 2007. Bethesda:National Cancer Institute, NIH Publication number 07-5581</w:t>
            </w:r>
          </w:p>
          <w:p>
            <w:pPr/>
            <w:r>
              <w:rPr>
                <w:rStyle w:val="row-content-rich-text"/>
              </w:rPr>
              <w:t xml:space="preserve">National Breast and Ovarian Cancer Centre and Australian Cancer Network 2008. The pathology reporting of breast cancer: A guide for pathologists, surgeons, radiologists and oncologists, 3rd edition.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bee5aea9994ffd">
              <w:r>
                <w:rPr>
                  <w:rStyle w:val="Hyperlink"/>
                </w:rPr>
                <w:t xml:space="preserve">Person with cancer—solid tumour size (at diagnosis), total millimetres NNN</w:t>
              </w:r>
            </w:hyperlink>
          </w:p>
          <w:p>
            <w:pPr>
              <w:pStyle w:val="registration-status"/>
              <w:spacing w:before="0" w:after="0"/>
            </w:pPr>
            <w:hyperlink w:history="true" r:id="Rf4a969a75352421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bad7fb39bf43d2">
              <w:r>
                <w:rPr>
                  <w:rStyle w:val="Hyperlink"/>
                </w:rPr>
                <w:t xml:space="preserve">Breast cancer (cancer registries) NBPDS</w:t>
              </w:r>
            </w:hyperlink>
          </w:p>
          <w:p>
            <w:pPr>
              <w:pStyle w:val="registration-status"/>
              <w:spacing w:before="0" w:after="0"/>
            </w:pPr>
            <w:hyperlink w:history="true" r:id="R96bf983042a14c4b">
              <w:r>
                <w:rPr>
                  <w:rStyle w:val="Hyperlink"/>
                  <w:color w:val="244061"/>
                </w:rPr>
                <w:t xml:space="preserve">Health</w:t>
              </w:r>
            </w:hyperlink>
            <w:r>
              <w:rPr>
                <w:rStyle w:val="row-content"/>
                <w:color w:val="244061"/>
              </w:rPr>
              <w:t xml:space="preserve">, Standard 01/09/2012</w:t>
            </w:r>
          </w:p>
          <w:p>
            <w:r>
              <w:br/>
            </w:r>
            <w:hyperlink w:history="true" r:id="R193cfed03e2544cc">
              <w:r>
                <w:rPr>
                  <w:rStyle w:val="Hyperlink"/>
                </w:rPr>
                <w:t xml:space="preserve">Cancer (clinical) DSS</w:t>
              </w:r>
            </w:hyperlink>
          </w:p>
          <w:p>
            <w:pPr>
              <w:pStyle w:val="registration-status"/>
              <w:spacing w:before="0" w:after="0"/>
            </w:pPr>
            <w:hyperlink w:history="true" r:id="R3aaa46124c97454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24a5f72613264ada">
              <w:r>
                <w:rPr>
                  <w:rStyle w:val="Hyperlink"/>
                </w:rPr>
                <w:t xml:space="preserve">Cancer (clinical) DSS</w:t>
              </w:r>
            </w:hyperlink>
          </w:p>
          <w:p>
            <w:pPr>
              <w:pStyle w:val="registration-status"/>
              <w:spacing w:before="0" w:after="0"/>
            </w:pPr>
            <w:hyperlink w:history="true" r:id="R2ff7042aaed842c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5d54b2210cb34a47">
              <w:r>
                <w:rPr>
                  <w:rStyle w:val="Hyperlink"/>
                </w:rPr>
                <w:t xml:space="preserve">Cancer (clinical) NBPDS</w:t>
              </w:r>
            </w:hyperlink>
          </w:p>
          <w:p>
            <w:pPr>
              <w:pStyle w:val="registration-status"/>
              <w:spacing w:before="0" w:after="0"/>
            </w:pPr>
            <w:hyperlink w:history="true" r:id="R05d165056260426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histopathological examination of the tumour, and excludes Phyllodes tumours, sarcomas or lymphomas.</w:t>
            </w:r>
          </w:p>
          <w:p>
            <w:r>
              <w:br/>
            </w:r>
            <w:r>
              <w:br/>
            </w:r>
          </w:p>
        </w:tc>
      </w:tr>
    </w:tbl>
    <w:p/>
    <w:tbl>
      <w:tblPr>
        <w:tblStyle w:val="TableGrid"/>
        <w:tblW w:w="0" w:type="auto"/>
      </w:tblPr>
    </w:tbl>
    <w:p>
      <w:r>
        <w:br/>
      </w:r>
    </w:p>
    <w:sectPr>
      <w:footerReference xmlns:r="http://schemas.openxmlformats.org/officeDocument/2006/relationships" w:type="default" r:id="R7d302530907e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0e7b45793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02530907e4649" /><Relationship Type="http://schemas.openxmlformats.org/officeDocument/2006/relationships/header" Target="/word/header1.xml" Id="Rf85989c7c3b2454f" /><Relationship Type="http://schemas.openxmlformats.org/officeDocument/2006/relationships/settings" Target="/word/settings.xml" Id="R6c12b753c0134ce9" /><Relationship Type="http://schemas.openxmlformats.org/officeDocument/2006/relationships/styles" Target="/word/styles.xml" Id="Rc510ea4be55248fb" /><Relationship Type="http://schemas.openxmlformats.org/officeDocument/2006/relationships/numbering" Target="/word/numbering.xml" Id="R75471514b9344a84" /><Relationship Type="http://schemas.openxmlformats.org/officeDocument/2006/relationships/hyperlink" Target="https://meteor.aihw.gov.au/RegistrationAuthority/12" TargetMode="External" Id="Rd53d60cfb2d74d8b" /><Relationship Type="http://schemas.openxmlformats.org/officeDocument/2006/relationships/hyperlink" Target="https://meteor.aihw.gov.au/content/269651" TargetMode="External" Id="R58e02883b1df4cab" /><Relationship Type="http://schemas.openxmlformats.org/officeDocument/2006/relationships/hyperlink" Target="https://meteor.aihw.gov.au/content/270760" TargetMode="External" Id="Rb5ac6ac95fea4057" /><Relationship Type="http://schemas.openxmlformats.org/officeDocument/2006/relationships/hyperlink" Target="https://meteor.aihw.gov.au/content/370042" TargetMode="External" Id="R52bee5aea9994ffd" /><Relationship Type="http://schemas.openxmlformats.org/officeDocument/2006/relationships/hyperlink" Target="https://meteor.aihw.gov.au/RegistrationAuthority/12" TargetMode="External" Id="Rf4a969a75352421a" /><Relationship Type="http://schemas.openxmlformats.org/officeDocument/2006/relationships/hyperlink" Target="https://meteor.aihw.gov.au/content/491771" TargetMode="External" Id="Re1bad7fb39bf43d2" /><Relationship Type="http://schemas.openxmlformats.org/officeDocument/2006/relationships/hyperlink" Target="https://meteor.aihw.gov.au/RegistrationAuthority/12" TargetMode="External" Id="R96bf983042a14c4b" /><Relationship Type="http://schemas.openxmlformats.org/officeDocument/2006/relationships/hyperlink" Target="https://meteor.aihw.gov.au/content/394731" TargetMode="External" Id="R193cfed03e2544cc" /><Relationship Type="http://schemas.openxmlformats.org/officeDocument/2006/relationships/hyperlink" Target="https://meteor.aihw.gov.au/RegistrationAuthority/12" TargetMode="External" Id="R3aaa46124c974544" /><Relationship Type="http://schemas.openxmlformats.org/officeDocument/2006/relationships/hyperlink" Target="https://meteor.aihw.gov.au/content/560813" TargetMode="External" Id="R24a5f72613264ada" /><Relationship Type="http://schemas.openxmlformats.org/officeDocument/2006/relationships/hyperlink" Target="https://meteor.aihw.gov.au/RegistrationAuthority/12" TargetMode="External" Id="R2ff7042aaed842c2" /><Relationship Type="http://schemas.openxmlformats.org/officeDocument/2006/relationships/hyperlink" Target="https://meteor.aihw.gov.au/content/597861" TargetMode="External" Id="R5d54b2210cb34a47" /><Relationship Type="http://schemas.openxmlformats.org/officeDocument/2006/relationships/hyperlink" Target="https://meteor.aihw.gov.au/RegistrationAuthority/12" TargetMode="External" Id="R05d1650562604269" /></Relationships>
</file>

<file path=word/_rels/header1.xml.rels>&#65279;<?xml version="1.0" encoding="utf-8"?><Relationships xmlns="http://schemas.openxmlformats.org/package/2006/relationships"><Relationship Type="http://schemas.openxmlformats.org/officeDocument/2006/relationships/image" Target="/media/image.png" Id="R4ee0e7b45793464a" /></Relationships>
</file>