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3026899308454f" /></Relationships>
</file>

<file path=word/document.xml><?xml version="1.0" encoding="utf-8"?>
<w:document xmlns:r="http://schemas.openxmlformats.org/officeDocument/2006/relationships" xmlns:w="http://schemas.openxmlformats.org/wordprocessingml/2006/main">
  <w:body>
    <w:p>
      <w:pPr>
        <w:pStyle w:val="Title"/>
      </w:pPr>
      <w:r>
        <w:t>Type of birth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birth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1e34e5fad4c8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 technique used to introduce an agent to produce a state of reduced or absence of sensation to the woman for the operative or instrumental delivery of the baby." w:history="true" r:id="R98928f44f6744efb">
              <w:r>
                <w:rPr>
                  <w:rStyle w:val="Hyperlink"/>
                  <w:b/>
                </w:rPr>
                <w:t xml:space="preserve">anaesthesia</w:t>
              </w:r>
            </w:hyperlink>
            <w:r>
              <w:rPr>
                <w:rStyle w:val="row-content-rich-text"/>
              </w:rPr>
              <w:t xml:space="preserve"> administered during a birth event.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Code 1, which had a meaning in previous versions of the data standard, is no longer used. As is good practice, the code will not be reused.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2a77ba94a648a6">
              <w:r>
                <w:rPr>
                  <w:rStyle w:val="Hyperlink"/>
                </w:rPr>
                <w:t xml:space="preserve">Anaesthesia administered code N</w:t>
              </w:r>
            </w:hyperlink>
          </w:p>
          <w:p>
            <w:pPr>
              <w:pStyle w:val="registration-status"/>
              <w:spacing w:before="0" w:after="0"/>
            </w:pPr>
            <w:hyperlink w:history="true" r:id="Rf849e00bcbf842f7">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dc14f1b6ca5c4877">
              <w:r>
                <w:rPr>
                  <w:rStyle w:val="Hyperlink"/>
                </w:rPr>
                <w:t xml:space="preserve">Type of birth anaesthesia administered code N[N]</w:t>
              </w:r>
            </w:hyperlink>
          </w:p>
          <w:p>
            <w:pPr>
              <w:pStyle w:val="registration-status"/>
              <w:spacing w:before="0" w:after="0"/>
            </w:pPr>
            <w:hyperlink w:history="true" r:id="Rc5144e79967d4e1b">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f5f79bc49354b1a">
              <w:r>
                <w:rPr>
                  <w:rStyle w:val="Hyperlink"/>
                </w:rPr>
                <w:t xml:space="preserve">Birth event—type of anaesthesia administered, code N[N]</w:t>
              </w:r>
            </w:hyperlink>
          </w:p>
          <w:p>
            <w:pPr>
              <w:pStyle w:val="registration-status"/>
              <w:spacing w:before="0" w:after="0"/>
            </w:pPr>
            <w:hyperlink w:history="true" r:id="Rae8c4969036e41fb">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85b1fb1549cf4c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422528</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ef85cf99fa42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b1fb1549cf4c58" /><Relationship Type="http://schemas.openxmlformats.org/officeDocument/2006/relationships/header" Target="/word/header1.xml" Id="R7b7fb271388e48b4" /><Relationship Type="http://schemas.openxmlformats.org/officeDocument/2006/relationships/settings" Target="/word/settings.xml" Id="R7a5154dfd7034307" /><Relationship Type="http://schemas.openxmlformats.org/officeDocument/2006/relationships/styles" Target="/word/styles.xml" Id="Ra25cbe0e6a32453a" /><Relationship Type="http://schemas.openxmlformats.org/officeDocument/2006/relationships/hyperlink" Target="https://meteor.aihw.gov.au/RegistrationAuthority/12" TargetMode="External" Id="R4431e34e5fad4c8e" /><Relationship Type="http://schemas.openxmlformats.org/officeDocument/2006/relationships/hyperlink" Target="https://meteor.aihw.gov.au/content/504029" TargetMode="External" Id="R98928f44f6744efb" /><Relationship Type="http://schemas.openxmlformats.org/officeDocument/2006/relationships/hyperlink" Target="https://meteor.aihw.gov.au/content/292532" TargetMode="External" Id="R592a77ba94a648a6" /><Relationship Type="http://schemas.openxmlformats.org/officeDocument/2006/relationships/hyperlink" Target="https://meteor.aihw.gov.au/RegistrationAuthority/12" TargetMode="External" Id="Rf849e00bcbf842f7" /><Relationship Type="http://schemas.openxmlformats.org/officeDocument/2006/relationships/hyperlink" Target="https://meteor.aihw.gov.au/content/695534" TargetMode="External" Id="Rdc14f1b6ca5c4877" /><Relationship Type="http://schemas.openxmlformats.org/officeDocument/2006/relationships/hyperlink" Target="https://meteor.aihw.gov.au/RegistrationAuthority/12" TargetMode="External" Id="Rc5144e79967d4e1b" /><Relationship Type="http://schemas.openxmlformats.org/officeDocument/2006/relationships/hyperlink" Target="https://meteor.aihw.gov.au/content/422383" TargetMode="External" Id="R8f5f79bc49354b1a" /><Relationship Type="http://schemas.openxmlformats.org/officeDocument/2006/relationships/hyperlink" Target="https://meteor.aihw.gov.au/RegistrationAuthority/12" TargetMode="External" Id="Rae8c4969036e41fb" /></Relationships>
</file>

<file path=word/_rels/header1.xml.rels>&#65279;<?xml version="1.0" encoding="utf-8"?><Relationships xmlns="http://schemas.openxmlformats.org/package/2006/relationships"><Relationship Type="http://schemas.openxmlformats.org/officeDocument/2006/relationships/image" Target="/media/image.png" Id="Re0ef85cf99fa4232" /></Relationships>
</file>