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9c46b0f000946c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30-Proportion of people with diabetes with a GP annual cycle of care,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30-Proportion of people with diabetes with a GP annual cycle of care,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30-Proportion of people with diabetes with a GP annual cycle of care,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d578e8824d4c98">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with diabetes mellitus who have received a Medicare Benefits Schedule (MBS) or Department of Veterans’ Affairs (DVA) annual cycle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7abbf3ccd7e4113">
              <w:r>
                <w:rPr>
                  <w:rStyle w:val="Hyperlink"/>
                </w:rPr>
                <w:t xml:space="preserve">National Healthcare Agreement (2011)</w:t>
              </w:r>
            </w:hyperlink>
          </w:p>
          <w:p>
            <w:pPr>
              <w:spacing w:before="0" w:after="0"/>
            </w:pPr>
            <w:r>
              <w:rPr>
                <w:rStyle w:val="row-content"/>
                <w:color w:val="244061"/>
              </w:rPr>
              <w:t xml:space="preserve">       </w:t>
            </w:r>
            <w:hyperlink w:history="true" r:id="Rb53d494be7e84c34">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27614863dab43b0">
              <w:r>
                <w:rPr>
                  <w:rStyle w:val="Hyperlink"/>
                </w:rPr>
                <w:t xml:space="preserve">Primary and Community Health</w:t>
              </w:r>
            </w:hyperlink>
          </w:p>
          <w:p>
            <w:pPr>
              <w:spacing w:before="0" w:after="0"/>
            </w:pPr>
            <w:r>
              <w:rPr>
                <w:rStyle w:val="row-content"/>
                <w:color w:val="244061"/>
              </w:rPr>
              <w:t xml:space="preserve">       </w:t>
            </w:r>
            <w:hyperlink w:history="true" r:id="R928bd9cf1d104fc1">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c244527383b4950">
              <w:r>
                <w:rPr>
                  <w:rStyle w:val="Hyperlink"/>
                </w:rPr>
                <w:t xml:space="preserve">National Healthcare Agreement: PI 30: Proportion of people with diabetes who have a GP annual cycle of care, 2011 QS</w:t>
              </w:r>
            </w:hyperlink>
          </w:p>
          <w:p>
            <w:pPr>
              <w:spacing w:before="0" w:after="0"/>
            </w:pPr>
            <w:r>
              <w:rPr>
                <w:rStyle w:val="row-content"/>
                <w:color w:val="244061"/>
              </w:rPr>
              <w:t xml:space="preserve">       </w:t>
            </w:r>
            <w:hyperlink w:history="true" r:id="Rfb611cfc6762499e">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Numerator:</w:t>
            </w:r>
            <w:r>
              <w:rPr>
                <w:rStyle w:val="row-content-rich-text"/>
              </w:rPr>
              <w:t xml:space="preserve"> Include MBS A18.2 or A19.2 codes.</w:t>
            </w:r>
          </w:p>
          <w:p>
            <w:pPr>
              <w:spacing w:after="160"/>
            </w:pPr>
            <w:r>
              <w:rPr>
                <w:rStyle w:val="row-content-rich-text"/>
                <w:u w:val="single"/>
              </w:rPr>
              <w:t xml:space="preserve">Denominator:</w:t>
            </w:r>
            <w:r>
              <w:rPr>
                <w:rStyle w:val="row-content-rich-text"/>
              </w:rPr>
              <w:t xml:space="preserve"> Exclude gestational diabetes mellitus (GDM), ‘other’ diabetes cases and deceased registrants.</w:t>
            </w:r>
          </w:p>
          <w:p>
            <w:pPr>
              <w:spacing w:after="160"/>
            </w:pPr>
            <w:r>
              <w:rPr>
                <w:rStyle w:val="row-content-rich-text"/>
              </w:rPr>
              <w:t xml:space="preserve">Analysis by state and territory, remoteness and SEIFA Index of Relative Socioeconomic Disadvantage (IRSD) is based on usual residence of person.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with a completed MBS or DVA diabetes annual cycle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People with a completed MBS diabetes annual cycle of care</w:t>
            </w:r>
          </w:p>
          <w:p>
            <w:r>
              <w:rPr>
                <w:rStyle w:val="row-content"/>
                <w:b/>
              </w:rPr>
              <w:t xml:space="preserve">Data Source</w:t>
            </w:r>
          </w:p>
          <w:p>
            <w:hyperlink w:history="true" r:id="R7553ceaedecf4116">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with diagnosed Type 1 or Type 2 diabetes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Person—diabetes mellitus status</w:t>
            </w:r>
          </w:p>
          <w:p>
            <w:r>
              <w:rPr>
                <w:rStyle w:val="row-content"/>
                <w:b/>
              </w:rPr>
              <w:t xml:space="preserve">Data Source</w:t>
            </w:r>
          </w:p>
          <w:p>
            <w:hyperlink w:history="true" r:id="Rc1ff3504872b4c14">
              <w:r>
                <w:rPr>
                  <w:rStyle w:val="Hyperlink"/>
                </w:rPr>
                <w:t xml:space="preserve">National Diabetes Services Scheme (NDSS) database</w:t>
              </w:r>
            </w:hyperlink>
          </w:p>
          <w:p>
            <w:r>
              <w:rPr>
                <w:rStyle w:val="row-content"/>
                <w:b/>
              </w:rPr>
              <w:t xml:space="preserve">Guide for use</w:t>
            </w:r>
          </w:p>
          <w:p>
            <w:r>
              <w:rPr>
                <w:rStyle w:val="row-content"/>
              </w:rPr>
              <w:t xml:space="preserve">Data source type: Administrative by-product/service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2008–09 and 2009-10—Nationally, by SEIFA Index of Relative Socioeconomic Disadvantage (IRSD) deciles</w:t>
            </w:r>
          </w:p>
          <w:p>
            <w:pPr>
              <w:spacing w:after="160"/>
            </w:pPr>
            <w:r>
              <w:rPr>
                <w:rStyle w:val="row-content-rich-text"/>
              </w:rPr>
              <w:t xml:space="preserve">2008–09 and 2009-10—State and territory, by:</w:t>
            </w:r>
          </w:p>
          <w:p>
            <w:pPr>
              <w:pStyle w:val="ListParagraph"/>
              <w:numPr>
                <w:ilvl w:val="0"/>
                <w:numId w:val="2"/>
              </w:numPr>
            </w:pPr>
            <w:r>
              <w:rPr>
                <w:rStyle w:val="row-content-rich-text"/>
              </w:rPr>
              <w:t xml:space="preserve">remoteness </w:t>
            </w:r>
          </w:p>
          <w:p>
            <w:pPr>
              <w:pStyle w:val="ListParagraph"/>
              <w:numPr>
                <w:ilvl w:val="0"/>
                <w:numId w:val="2"/>
              </w:numPr>
            </w:pPr>
            <w:r>
              <w:rPr>
                <w:rStyle w:val="row-content-rich-text"/>
              </w:rPr>
              <w:t xml:space="preserve">SEIFA IRSD quintiles  </w:t>
            </w:r>
          </w:p>
          <w:p>
            <w:pPr/>
            <w:r>
              <w:rPr>
                <w:rStyle w:val="row-content-rich-text"/>
              </w:rPr>
              <w:t xml:space="preserve">Disaggregations within individual jurisdictions are subject to data quality considerations. 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8d7398004fc847a5">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Inclusion of services reimbursed through DVA, pending advice from DVA.</w:t>
            </w:r>
          </w:p>
          <w:p>
            <w:pPr>
              <w:spacing w:after="160"/>
            </w:pPr>
            <w:r>
              <w:rPr>
                <w:rStyle w:val="row-content-rich-text"/>
              </w:rPr>
              <w:t xml:space="preserve">Most recent data available for 2011 CRC report:</w:t>
            </w:r>
          </w:p>
          <w:p>
            <w:pPr>
              <w:spacing w:after="160"/>
            </w:pPr>
            <w:r>
              <w:rPr>
                <w:rStyle w:val="row-content-rich-text"/>
                <w:u w:val="single"/>
              </w:rPr>
              <w:t xml:space="preserve">Numerator:</w:t>
            </w:r>
            <w:r>
              <w:rPr>
                <w:rStyle w:val="row-content-rich-text"/>
              </w:rPr>
              <w:t xml:space="preserve"> 2008–09 (updated to include DVA data) and 2009–10</w:t>
            </w:r>
          </w:p>
          <w:p>
            <w:pPr/>
            <w:r>
              <w:rPr>
                <w:rStyle w:val="row-content-rich-text"/>
                <w:u w:val="single"/>
              </w:rPr>
              <w:t xml:space="preserve">Denominator:</w:t>
            </w:r>
            <w:r>
              <w:rPr>
                <w:rStyle w:val="row-content-rich-text"/>
              </w:rPr>
              <w:t xml:space="preserve"> 2008–09 and 2009–10 (with caveats)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a33a549a6964ec7">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df940ff92814464">
              <w:r>
                <w:rPr>
                  <w:rStyle w:val="Hyperlink"/>
                </w:rPr>
                <w:t xml:space="preserve">National Diabetes Services Scheme (NDSS) database</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Department of Health and Ageing</w:t>
            </w:r>
          </w:p>
          <w:p>
            <w:r>
              <w:rPr>
                <w:rStyle w:val="row-content"/>
                <w:b/>
                <w:color w:val="000000"/>
              </w:rPr>
              <w:t xml:space="preserve">Data Source</w:t>
            </w:r>
          </w:p>
          <w:p>
            <w:hyperlink w:history="true" r:id="Rcd6ecaba35bd4663">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772ed6fb1664262">
              <w:r>
                <w:rPr>
                  <w:rStyle w:val="Hyperlink"/>
                </w:rPr>
                <w:t xml:space="preserve">National Healthcare Agreement: P30-Proportion of people with diabetes who have a GP annual cycle of care, 2010</w:t>
              </w:r>
            </w:hyperlink>
          </w:p>
          <w:p>
            <w:pPr>
              <w:spacing w:before="0" w:after="0"/>
            </w:pPr>
            <w:r>
              <w:rPr>
                <w:rStyle w:val="row-content"/>
                <w:color w:val="244061"/>
              </w:rPr>
              <w:t xml:space="preserve">       </w:t>
            </w:r>
            <w:hyperlink w:history="true" r:id="Redc4614f036841c9">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f5ed4e5367a4462f">
              <w:r>
                <w:rPr>
                  <w:rStyle w:val="Hyperlink"/>
                </w:rPr>
                <w:t xml:space="preserve">National Healthcare Agreement: PI 30-Proportion of people with diabetes with a GP annual cycle of care, 2012</w:t>
              </w:r>
            </w:hyperlink>
          </w:p>
          <w:p>
            <w:pPr>
              <w:spacing w:before="0" w:after="0"/>
            </w:pPr>
            <w:r>
              <w:rPr>
                <w:rStyle w:val="row-content"/>
                <w:color w:val="244061"/>
              </w:rPr>
              <w:t xml:space="preserve">       </w:t>
            </w:r>
            <w:hyperlink w:history="true" r:id="R073e54c014df4a18">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add00aba18b64c13">
              <w:r>
                <w:rPr>
                  <w:rStyle w:val="Hyperlink"/>
                </w:rPr>
                <w:t xml:space="preserve">National Healthcare Agreement: PB 01-Reduce the age-adjusted prevalence rate for Type 2 diabetes to 2000 levels (equivalent to a national prevalence rate (for 25 years and over) of 7.1 per cent) within 15 years (Baseline specification), 2011</w:t>
              </w:r>
            </w:hyperlink>
          </w:p>
          <w:p>
            <w:pPr>
              <w:spacing w:before="0" w:after="0"/>
            </w:pPr>
            <w:r>
              <w:rPr>
                <w:rStyle w:val="row-content"/>
                <w:color w:val="244061"/>
              </w:rPr>
              <w:t xml:space="preserve">       </w:t>
            </w:r>
            <w:hyperlink w:history="true" r:id="R6c2704845706431e">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90148d1396994140">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2011</w:t>
              </w:r>
            </w:hyperlink>
          </w:p>
          <w:p>
            <w:pPr>
              <w:spacing w:before="0" w:after="0"/>
            </w:pPr>
            <w:r>
              <w:rPr>
                <w:rStyle w:val="row-content"/>
                <w:color w:val="244061"/>
              </w:rPr>
              <w:t xml:space="preserve">       </w:t>
            </w:r>
            <w:hyperlink w:history="true" r:id="Re093571d85a34505">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b6fa068e5f10424d">
              <w:r>
                <w:rPr>
                  <w:rStyle w:val="Hyperlink"/>
                </w:rPr>
                <w:t xml:space="preserve">National Healthcare Agreement: PI 17-Proportion of people with diabetes with HbA1c below 7%, 2011</w:t>
              </w:r>
            </w:hyperlink>
          </w:p>
          <w:p>
            <w:pPr>
              <w:spacing w:before="0" w:after="0"/>
            </w:pPr>
            <w:r>
              <w:rPr>
                <w:rStyle w:val="row-content"/>
                <w:color w:val="244061"/>
              </w:rPr>
              <w:t xml:space="preserve">       </w:t>
            </w:r>
            <w:hyperlink w:history="true" r:id="R82590c7d9ec643e4">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7e4eeaa14ded4fc3">
              <w:r>
                <w:rPr>
                  <w:rStyle w:val="Hyperlink"/>
                </w:rPr>
                <w:t xml:space="preserve">National Healthcare Agreement: PI 31-Proportion of people with asthma with a written asthma plan, 2011</w:t>
              </w:r>
            </w:hyperlink>
          </w:p>
          <w:p>
            <w:pPr>
              <w:spacing w:before="0" w:after="0"/>
            </w:pPr>
            <w:r>
              <w:rPr>
                <w:rStyle w:val="row-content"/>
                <w:color w:val="244061"/>
              </w:rPr>
              <w:t xml:space="preserve">       </w:t>
            </w:r>
            <w:hyperlink w:history="true" r:id="Rf5be615d32014695">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d0505fe268e14736">
              <w:r>
                <w:rPr>
                  <w:rStyle w:val="Hyperlink"/>
                </w:rPr>
                <w:t xml:space="preserve">National Healthcare Agreement: PI 32-Proportion of people with mental illness with GP treatment plans, 2011</w:t>
              </w:r>
            </w:hyperlink>
          </w:p>
          <w:p>
            <w:pPr>
              <w:spacing w:before="0" w:after="0"/>
            </w:pPr>
            <w:r>
              <w:rPr>
                <w:rStyle w:val="row-content"/>
                <w:color w:val="244061"/>
              </w:rPr>
              <w:t xml:space="preserve">       </w:t>
            </w:r>
            <w:hyperlink w:history="true" r:id="R17a72703976d4bb7">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d7b6f609c33f4d86">
              <w:r>
                <w:rPr>
                  <w:rStyle w:val="Hyperlink"/>
                </w:rPr>
                <w:t xml:space="preserve">National Healthcare Agreement: PI 33-Women with at least one antenatal visit in the first trimester of pregnancy, 2011</w:t>
              </w:r>
            </w:hyperlink>
          </w:p>
          <w:p>
            <w:pPr>
              <w:spacing w:before="0" w:after="0"/>
            </w:pPr>
            <w:r>
              <w:rPr>
                <w:rStyle w:val="row-content"/>
                <w:color w:val="244061"/>
              </w:rPr>
              <w:t xml:space="preserve">       </w:t>
            </w:r>
            <w:hyperlink w:history="true" r:id="Rff1e4474de4f45f8">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de8f7716e63145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421631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0b41ff33a648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8f7716e6314502" /><Relationship Type="http://schemas.openxmlformats.org/officeDocument/2006/relationships/header" Target="/word/header1.xml" Id="R2a1301e0e3824060" /><Relationship Type="http://schemas.openxmlformats.org/officeDocument/2006/relationships/settings" Target="/word/settings.xml" Id="Rd25490dc42f445b9" /><Relationship Type="http://schemas.openxmlformats.org/officeDocument/2006/relationships/styles" Target="/word/styles.xml" Id="R12f13fd40dea40ad" /><Relationship Type="http://schemas.openxmlformats.org/officeDocument/2006/relationships/hyperlink" Target="https://meteor.aihw.gov.au/RegistrationAuthority/12" TargetMode="External" Id="R93d578e8824d4c98" /><Relationship Type="http://schemas.openxmlformats.org/officeDocument/2006/relationships/hyperlink" Target="https://meteor.aihw.gov.au/content/423587" TargetMode="External" Id="Rb7abbf3ccd7e4113" /><Relationship Type="http://schemas.openxmlformats.org/officeDocument/2006/relationships/hyperlink" Target="https://meteor.aihw.gov.au/RegistrationAuthority/12" TargetMode="External" Id="Rb53d494be7e84c34" /><Relationship Type="http://schemas.openxmlformats.org/officeDocument/2006/relationships/hyperlink" Target="https://meteor.aihw.gov.au/content/393484" TargetMode="External" Id="R627614863dab43b0" /><Relationship Type="http://schemas.openxmlformats.org/officeDocument/2006/relationships/hyperlink" Target="https://meteor.aihw.gov.au/RegistrationAuthority/12" TargetMode="External" Id="R928bd9cf1d104fc1" /><Relationship Type="http://schemas.openxmlformats.org/officeDocument/2006/relationships/hyperlink" Target="https://meteor.aihw.gov.au/content/448185" TargetMode="External" Id="R8c244527383b4950" /><Relationship Type="http://schemas.openxmlformats.org/officeDocument/2006/relationships/hyperlink" Target="https://meteor.aihw.gov.au/RegistrationAuthority/12" TargetMode="External" Id="Rfb611cfc6762499e" /><Relationship Type="http://schemas.openxmlformats.org/officeDocument/2006/relationships/hyperlink" Target="https://meteor.aihw.gov.au/content/394305" TargetMode="External" Id="R7553ceaedecf4116" /><Relationship Type="http://schemas.openxmlformats.org/officeDocument/2006/relationships/hyperlink" Target="https://meteor.aihw.gov.au/content/398323" TargetMode="External" Id="Rc1ff3504872b4c14" /><Relationship Type="http://schemas.openxmlformats.org/officeDocument/2006/relationships/numbering" Target="/word/numbering.xml" Id="R33ec666e06f24f29" /><Relationship Type="http://schemas.openxmlformats.org/officeDocument/2006/relationships/hyperlink" Target="https://meteor.aihw.gov.au/content/394305" TargetMode="External" Id="R8d7398004fc847a5" /><Relationship Type="http://schemas.openxmlformats.org/officeDocument/2006/relationships/hyperlink" Target="https://meteor.aihw.gov.au/content/392587" TargetMode="External" Id="Rca33a549a6964ec7" /><Relationship Type="http://schemas.openxmlformats.org/officeDocument/2006/relationships/hyperlink" Target="https://meteor.aihw.gov.au/content/398323" TargetMode="External" Id="R7df940ff92814464" /><Relationship Type="http://schemas.openxmlformats.org/officeDocument/2006/relationships/hyperlink" Target="https://meteor.aihw.gov.au/content/394305" TargetMode="External" Id="Rcd6ecaba35bd4663" /><Relationship Type="http://schemas.openxmlformats.org/officeDocument/2006/relationships/hyperlink" Target="https://meteor.aihw.gov.au/content/394962" TargetMode="External" Id="R6772ed6fb1664262" /><Relationship Type="http://schemas.openxmlformats.org/officeDocument/2006/relationships/hyperlink" Target="https://meteor.aihw.gov.au/RegistrationAuthority/12" TargetMode="External" Id="Redc4614f036841c9" /><Relationship Type="http://schemas.openxmlformats.org/officeDocument/2006/relationships/hyperlink" Target="https://meteor.aihw.gov.au/content/441397" TargetMode="External" Id="Rf5ed4e5367a4462f" /><Relationship Type="http://schemas.openxmlformats.org/officeDocument/2006/relationships/hyperlink" Target="https://meteor.aihw.gov.au/RegistrationAuthority/12" TargetMode="External" Id="R073e54c014df4a18" /><Relationship Type="http://schemas.openxmlformats.org/officeDocument/2006/relationships/hyperlink" Target="https://meteor.aihw.gov.au/content/428917" TargetMode="External" Id="Radd00aba18b64c13" /><Relationship Type="http://schemas.openxmlformats.org/officeDocument/2006/relationships/hyperlink" Target="https://meteor.aihw.gov.au/RegistrationAuthority/12" TargetMode="External" Id="R6c2704845706431e" /><Relationship Type="http://schemas.openxmlformats.org/officeDocument/2006/relationships/hyperlink" Target="https://meteor.aihw.gov.au/content/429180" TargetMode="External" Id="R90148d1396994140" /><Relationship Type="http://schemas.openxmlformats.org/officeDocument/2006/relationships/hyperlink" Target="https://meteor.aihw.gov.au/RegistrationAuthority/12" TargetMode="External" Id="Re093571d85a34505" /><Relationship Type="http://schemas.openxmlformats.org/officeDocument/2006/relationships/hyperlink" Target="https://meteor.aihw.gov.au/content/402420" TargetMode="External" Id="Rb6fa068e5f10424d" /><Relationship Type="http://schemas.openxmlformats.org/officeDocument/2006/relationships/hyperlink" Target="https://meteor.aihw.gov.au/RegistrationAuthority/12" TargetMode="External" Id="R82590c7d9ec643e4" /><Relationship Type="http://schemas.openxmlformats.org/officeDocument/2006/relationships/hyperlink" Target="https://meteor.aihw.gov.au/content/421629" TargetMode="External" Id="R7e4eeaa14ded4fc3" /><Relationship Type="http://schemas.openxmlformats.org/officeDocument/2006/relationships/hyperlink" Target="https://meteor.aihw.gov.au/RegistrationAuthority/12" TargetMode="External" Id="Rf5be615d32014695" /><Relationship Type="http://schemas.openxmlformats.org/officeDocument/2006/relationships/hyperlink" Target="https://meteor.aihw.gov.au/content/421627" TargetMode="External" Id="Rd0505fe268e14736" /><Relationship Type="http://schemas.openxmlformats.org/officeDocument/2006/relationships/hyperlink" Target="https://meteor.aihw.gov.au/RegistrationAuthority/12" TargetMode="External" Id="R17a72703976d4bb7" /><Relationship Type="http://schemas.openxmlformats.org/officeDocument/2006/relationships/hyperlink" Target="https://meteor.aihw.gov.au/content/421625" TargetMode="External" Id="Rd7b6f609c33f4d86" /><Relationship Type="http://schemas.openxmlformats.org/officeDocument/2006/relationships/hyperlink" Target="https://meteor.aihw.gov.au/RegistrationAuthority/12" TargetMode="External" Id="Rff1e4474de4f45f8" /></Relationships>
</file>

<file path=word/_rels/header1.xml.rels>&#65279;<?xml version="1.0" encoding="utf-8"?><Relationships xmlns="http://schemas.openxmlformats.org/package/2006/relationships"><Relationship Type="http://schemas.openxmlformats.org/officeDocument/2006/relationships/image" Target="/media/image.png" Id="R4c0b41ff33a6480e" /></Relationships>
</file>