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4347edf9024243" /></Relationships>
</file>

<file path=word/document.xml><?xml version="1.0" encoding="utf-8"?>
<w:document xmlns:r="http://schemas.openxmlformats.org/officeDocument/2006/relationships" xmlns:w="http://schemas.openxmlformats.org/wordprocessingml/2006/main">
  <w:body>
    <w:p>
      <w:pPr>
        <w:pStyle w:val="Title"/>
      </w:pPr>
      <w:r>
        <w:t>Tasmanian hospital patient funding source code XX[AAAAA]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hospital patient funding source code XX[AAAAA]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6329713dd4788">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w:t>
            </w:r>
          </w:p>
        </w:tc>
        <w:tc>
          <w:tcPr>
            <w:tcBorders>
              <w:top w:val="none" w:color="000000" w:sz="0"/>
              <w:left w:val="none" w:color="000000" w:sz="0"/>
              <w:bottom w:val="none" w:color="000000" w:sz="0"/>
              <w:right w:val="none" w:color="000000" w:sz="0"/>
            </w:tcBorders>
            <w:vAlign w:val="top"/>
          </w:tcPr>
          <w:p>
            <w:r>
              <w:t xml:space="preserve">Armed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ASX</w:t>
            </w:r>
          </w:p>
        </w:tc>
        <w:tc>
          <w:tcPr>
            <w:tcBorders>
              <w:top w:val="none" w:color="000000" w:sz="0"/>
              <w:left w:val="none" w:color="000000" w:sz="0"/>
              <w:bottom w:val="none" w:color="000000" w:sz="0"/>
              <w:right w:val="none" w:color="000000" w:sz="0"/>
            </w:tcBorders>
            <w:vAlign w:val="top"/>
          </w:tcPr>
          <w:p>
            <w:r>
              <w:t xml:space="preserve">Asylum seeker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BOARD</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w:t>
            </w:r>
          </w:p>
        </w:tc>
        <w:tc>
          <w:tcPr>
            <w:tcBorders>
              <w:top w:val="none" w:color="000000" w:sz="0"/>
              <w:left w:val="none" w:color="000000" w:sz="0"/>
              <w:bottom w:val="none" w:color="000000" w:sz="0"/>
              <w:right w:val="none" w:color="000000" w:sz="0"/>
            </w:tcBorders>
            <w:vAlign w:val="top"/>
          </w:tcPr>
          <w:p>
            <w:r>
              <w:t xml:space="preserve">Common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CSAI</w:t>
            </w:r>
          </w:p>
        </w:tc>
        <w:tc>
          <w:tcPr>
            <w:tcBorders>
              <w:top w:val="none" w:color="000000" w:sz="0"/>
              <w:left w:val="none" w:color="000000" w:sz="0"/>
              <w:bottom w:val="none" w:color="000000" w:sz="0"/>
              <w:right w:val="none" w:color="000000" w:sz="0"/>
            </w:tcBorders>
            <w:vAlign w:val="top"/>
          </w:tcPr>
          <w:p>
            <w:r>
              <w:t xml:space="preserve">Contracted services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CSAO</w:t>
            </w:r>
          </w:p>
        </w:tc>
        <w:tc>
          <w:tcPr>
            <w:tcBorders>
              <w:top w:val="none" w:color="000000" w:sz="0"/>
              <w:left w:val="none" w:color="000000" w:sz="0"/>
              <w:bottom w:val="none" w:color="000000" w:sz="0"/>
              <w:right w:val="none" w:color="000000" w:sz="0"/>
            </w:tcBorders>
            <w:vAlign w:val="top"/>
          </w:tcPr>
          <w:p>
            <w:r>
              <w:t xml:space="preserve">Outsourced contract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DVA</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DVANHT</w:t>
            </w:r>
          </w:p>
        </w:tc>
        <w:tc>
          <w:tcPr>
            <w:tcBorders>
              <w:top w:val="none" w:color="000000" w:sz="0"/>
              <w:left w:val="none" w:color="000000" w:sz="0"/>
              <w:bottom w:val="none" w:color="000000" w:sz="0"/>
              <w:right w:val="none" w:color="000000" w:sz="0"/>
            </w:tcBorders>
            <w:vAlign w:val="top"/>
          </w:tcPr>
          <w:p>
            <w:r>
              <w:t xml:space="preserve">Department of Veterans’ Affairs - 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HPH</w:t>
            </w:r>
          </w:p>
        </w:tc>
        <w:tc>
          <w:tcPr>
            <w:tcBorders>
              <w:top w:val="none" w:color="000000" w:sz="0"/>
              <w:left w:val="none" w:color="000000" w:sz="0"/>
              <w:bottom w:val="none" w:color="000000" w:sz="0"/>
              <w:right w:val="none" w:color="000000" w:sz="0"/>
            </w:tcBorders>
            <w:vAlign w:val="top"/>
          </w:tcPr>
          <w:p>
            <w:r>
              <w:t xml:space="preserve">Hobart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MBB</w:t>
            </w:r>
          </w:p>
        </w:tc>
        <w:tc>
          <w:tcPr>
            <w:tcBorders>
              <w:top w:val="none" w:color="000000" w:sz="0"/>
              <w:left w:val="none" w:color="000000" w:sz="0"/>
              <w:bottom w:val="none" w:color="000000" w:sz="0"/>
              <w:right w:val="none" w:color="000000" w:sz="0"/>
            </w:tcBorders>
            <w:vAlign w:val="top"/>
          </w:tcPr>
          <w:p>
            <w:r>
              <w:t xml:space="preserve">NO LONGER USED - Bulk billed (ORP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MVA</w:t>
            </w:r>
          </w:p>
        </w:tc>
        <w:tc>
          <w:tcPr>
            <w:tcBorders>
              <w:top w:val="none" w:color="000000" w:sz="0"/>
              <w:left w:val="none" w:color="000000" w:sz="0"/>
              <w:bottom w:val="none" w:color="000000" w:sz="0"/>
              <w:right w:val="none" w:color="000000" w:sz="0"/>
            </w:tcBorders>
            <w:vAlign w:val="top"/>
          </w:tcPr>
          <w:p>
            <w:r>
              <w:t xml:space="preserve">Motor vehicle accident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NB</w:t>
            </w:r>
          </w:p>
        </w:tc>
        <w:tc>
          <w:tcPr>
            <w:tcBorders>
              <w:top w:val="none" w:color="000000" w:sz="0"/>
              <w:left w:val="none" w:color="000000" w:sz="0"/>
              <w:bottom w:val="none" w:color="000000" w:sz="0"/>
              <w:right w:val="none" w:color="000000" w:sz="0"/>
            </w:tcBorders>
            <w:vAlign w:val="top"/>
          </w:tcPr>
          <w:p>
            <w:r>
              <w:t xml:space="preserve">Newborn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ORP</w:t>
            </w:r>
          </w:p>
        </w:tc>
        <w:tc>
          <w:tcPr>
            <w:tcBorders>
              <w:top w:val="none" w:color="000000" w:sz="0"/>
              <w:left w:val="none" w:color="000000" w:sz="0"/>
              <w:bottom w:val="none" w:color="000000" w:sz="0"/>
              <w:right w:val="none" w:color="000000" w:sz="0"/>
            </w:tcBorders>
            <w:vAlign w:val="top"/>
          </w:tcPr>
          <w:p>
            <w:r>
              <w:t xml:space="preserve">ORP (inpatient)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OSS</w:t>
            </w:r>
          </w:p>
        </w:tc>
        <w:tc>
          <w:tcPr>
            <w:tcBorders>
              <w:top w:val="none" w:color="000000" w:sz="0"/>
              <w:left w:val="none" w:color="000000" w:sz="0"/>
              <w:bottom w:val="none" w:color="000000" w:sz="0"/>
              <w:right w:val="none" w:color="000000" w:sz="0"/>
            </w:tcBorders>
            <w:vAlign w:val="top"/>
          </w:tcPr>
          <w:p>
            <w:r>
              <w:t xml:space="preserve">Overseas -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OSV</w:t>
            </w:r>
          </w:p>
        </w:tc>
        <w:tc>
          <w:tcPr>
            <w:tcBorders>
              <w:top w:val="none" w:color="000000" w:sz="0"/>
              <w:left w:val="none" w:color="000000" w:sz="0"/>
              <w:bottom w:val="none" w:color="000000" w:sz="0"/>
              <w:right w:val="none" w:color="000000" w:sz="0"/>
            </w:tcBorders>
            <w:vAlign w:val="top"/>
          </w:tcPr>
          <w:p>
            <w:r>
              <w:t xml:space="preserve">Overseas - Reciprocal HCA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OSVNO</w:t>
            </w:r>
          </w:p>
        </w:tc>
        <w:tc>
          <w:tcPr>
            <w:tcBorders>
              <w:top w:val="none" w:color="000000" w:sz="0"/>
              <w:left w:val="none" w:color="000000" w:sz="0"/>
              <w:bottom w:val="none" w:color="000000" w:sz="0"/>
              <w:right w:val="none" w:color="000000" w:sz="0"/>
            </w:tcBorders>
            <w:vAlign w:val="top"/>
          </w:tcPr>
          <w:p>
            <w:r>
              <w:t xml:space="preserve">Overseas - without Reciprocal HCA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PNH</w:t>
            </w:r>
          </w:p>
        </w:tc>
        <w:tc>
          <w:tcPr>
            <w:tcBorders>
              <w:top w:val="none" w:color="000000" w:sz="0"/>
              <w:left w:val="none" w:color="000000" w:sz="0"/>
              <w:bottom w:val="none" w:color="000000" w:sz="0"/>
              <w:right w:val="none" w:color="000000" w:sz="0"/>
            </w:tcBorders>
            <w:vAlign w:val="top"/>
          </w:tcPr>
          <w:p>
            <w:r>
              <w:t xml:space="preserve">Public - 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PRIS</w:t>
            </w:r>
          </w:p>
        </w:tc>
        <w:tc>
          <w:tcPr>
            <w:tcBorders>
              <w:top w:val="none" w:color="000000" w:sz="0"/>
              <w:left w:val="none" w:color="000000" w:sz="0"/>
              <w:bottom w:val="none" w:color="000000" w:sz="0"/>
              <w:right w:val="none" w:color="000000" w:sz="0"/>
            </w:tcBorders>
            <w:vAlign w:val="top"/>
          </w:tcPr>
          <w:p>
            <w:r>
              <w:t xml:space="preserve">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w:t>
            </w:r>
          </w:p>
        </w:tc>
        <w:tc>
          <w:tcPr>
            <w:tcBorders>
              <w:top w:val="none" w:color="000000" w:sz="0"/>
              <w:left w:val="none" w:color="000000" w:sz="0"/>
              <w:bottom w:val="none" w:color="000000" w:sz="0"/>
              <w:right w:val="none" w:color="000000" w:sz="0"/>
            </w:tcBorders>
            <w:vAlign w:val="top"/>
          </w:tcPr>
          <w:p>
            <w:r>
              <w:t xml:space="preserve">NO LONGER USED -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PRIVHO</w:t>
            </w:r>
          </w:p>
        </w:tc>
        <w:tc>
          <w:tcPr>
            <w:tcBorders>
              <w:top w:val="none" w:color="000000" w:sz="0"/>
              <w:left w:val="none" w:color="000000" w:sz="0"/>
              <w:bottom w:val="none" w:color="000000" w:sz="0"/>
              <w:right w:val="none" w:color="000000" w:sz="0"/>
            </w:tcBorders>
            <w:vAlign w:val="top"/>
          </w:tcPr>
          <w:p>
            <w:r>
              <w:t xml:space="preserve">NO LONGER USED - Private - hospital in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PRIVNH</w:t>
            </w:r>
          </w:p>
        </w:tc>
        <w:tc>
          <w:tcPr>
            <w:tcBorders>
              <w:top w:val="none" w:color="000000" w:sz="0"/>
              <w:left w:val="none" w:color="000000" w:sz="0"/>
              <w:bottom w:val="none" w:color="000000" w:sz="0"/>
              <w:right w:val="none" w:color="000000" w:sz="0"/>
            </w:tcBorders>
            <w:vAlign w:val="top"/>
          </w:tcPr>
          <w:p>
            <w:r>
              <w:t xml:space="preserve">Private - 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PRIVO</w:t>
            </w:r>
          </w:p>
        </w:tc>
        <w:tc>
          <w:tcPr>
            <w:tcBorders>
              <w:top w:val="none" w:color="000000" w:sz="0"/>
              <w:left w:val="none" w:color="000000" w:sz="0"/>
              <w:bottom w:val="none" w:color="000000" w:sz="0"/>
              <w:right w:val="none" w:color="000000" w:sz="0"/>
            </w:tcBorders>
            <w:vAlign w:val="top"/>
          </w:tcPr>
          <w:p>
            <w:r>
              <w:t xml:space="preserve">Private - overnight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PRIVSD</w:t>
            </w:r>
          </w:p>
        </w:tc>
        <w:tc>
          <w:tcPr>
            <w:tcBorders>
              <w:top w:val="none" w:color="000000" w:sz="0"/>
              <w:left w:val="none" w:color="000000" w:sz="0"/>
              <w:bottom w:val="none" w:color="000000" w:sz="0"/>
              <w:right w:val="none" w:color="000000" w:sz="0"/>
            </w:tcBorders>
            <w:vAlign w:val="top"/>
          </w:tcPr>
          <w:p>
            <w:r>
              <w:t xml:space="preserve">Private -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PUB</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PUBHOME</w:t>
            </w:r>
          </w:p>
        </w:tc>
        <w:tc>
          <w:tcPr>
            <w:tcBorders>
              <w:top w:val="none" w:color="000000" w:sz="0"/>
              <w:left w:val="none" w:color="000000" w:sz="0"/>
              <w:bottom w:val="none" w:color="000000" w:sz="0"/>
              <w:right w:val="none" w:color="000000" w:sz="0"/>
            </w:tcBorders>
            <w:vAlign w:val="top"/>
          </w:tcPr>
          <w:p>
            <w:r>
              <w:t xml:space="preserve">Public - hospital in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RESI</w:t>
            </w:r>
          </w:p>
        </w:tc>
        <w:tc>
          <w:tcPr>
            <w:tcBorders>
              <w:top w:val="none" w:color="000000" w:sz="0"/>
              <w:left w:val="none" w:color="000000" w:sz="0"/>
              <w:bottom w:val="none" w:color="000000" w:sz="0"/>
              <w:right w:val="none" w:color="000000" w:sz="0"/>
            </w:tcBorders>
            <w:vAlign w:val="top"/>
          </w:tcPr>
          <w:p>
            <w:r>
              <w:t xml:space="preserve">Residential -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RESP</w:t>
            </w:r>
          </w:p>
        </w:tc>
        <w:tc>
          <w:tcPr>
            <w:tcBorders>
              <w:top w:val="none" w:color="000000" w:sz="0"/>
              <w:left w:val="none" w:color="000000" w:sz="0"/>
              <w:bottom w:val="none" w:color="000000" w:sz="0"/>
              <w:right w:val="none" w:color="000000" w:sz="0"/>
            </w:tcBorders>
            <w:vAlign w:val="top"/>
          </w:tcPr>
          <w:p>
            <w:r>
              <w:t xml:space="preserve">Residential - 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w:t>
            </w:r>
          </w:p>
        </w:tc>
        <w:tc>
          <w:tcPr>
            <w:tcBorders>
              <w:top w:val="none" w:color="000000" w:sz="0"/>
              <w:left w:val="none" w:color="000000" w:sz="0"/>
              <w:bottom w:val="none" w:color="000000" w:sz="0"/>
              <w:right w:val="none" w:color="000000" w:sz="0"/>
            </w:tcBorders>
            <w:vAlign w:val="top"/>
          </w:tcPr>
          <w:p>
            <w:r>
              <w:t xml:space="preserve">Seamen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SFO</w:t>
            </w:r>
          </w:p>
        </w:tc>
        <w:tc>
          <w:tcPr>
            <w:tcBorders>
              <w:top w:val="none" w:color="000000" w:sz="0"/>
              <w:left w:val="none" w:color="000000" w:sz="0"/>
              <w:bottom w:val="none" w:color="000000" w:sz="0"/>
              <w:right w:val="none" w:color="000000" w:sz="0"/>
            </w:tcBorders>
            <w:vAlign w:val="top"/>
          </w:tcPr>
          <w:p>
            <w:r>
              <w:t xml:space="preserve">Self funded - overnight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SFSD</w:t>
            </w:r>
          </w:p>
        </w:tc>
        <w:tc>
          <w:tcPr>
            <w:tcBorders>
              <w:top w:val="none" w:color="000000" w:sz="0"/>
              <w:left w:val="none" w:color="000000" w:sz="0"/>
              <w:bottom w:val="none" w:color="000000" w:sz="0"/>
              <w:right w:val="none" w:color="000000" w:sz="0"/>
            </w:tcBorders>
            <w:vAlign w:val="top"/>
          </w:tcPr>
          <w:p>
            <w:r>
              <w:t xml:space="preserve">Self funded -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TRANS</w:t>
            </w:r>
          </w:p>
        </w:tc>
        <w:tc>
          <w:tcPr>
            <w:tcBorders>
              <w:top w:val="none" w:color="000000" w:sz="0"/>
              <w:left w:val="none" w:color="000000" w:sz="0"/>
              <w:bottom w:val="none" w:color="000000" w:sz="0"/>
              <w:right w:val="none" w:color="000000" w:sz="0"/>
            </w:tcBorders>
            <w:vAlign w:val="top"/>
          </w:tcPr>
          <w:p>
            <w:r>
              <w:t xml:space="preserve">Transitional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WCS</w:t>
            </w:r>
          </w:p>
        </w:tc>
        <w:tc>
          <w:tcPr>
            <w:tcBorders>
              <w:top w:val="none" w:color="000000" w:sz="0"/>
              <w:left w:val="none" w:color="000000" w:sz="0"/>
              <w:bottom w:val="none" w:color="000000" w:sz="0"/>
              <w:right w:val="none" w:color="000000" w:sz="0"/>
            </w:tcBorders>
            <w:vAlign w:val="top"/>
          </w:tcPr>
          <w:p>
            <w:r>
              <w:t xml:space="preserve">Worker's compensation -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AS     Armed services</w:t>
            </w:r>
          </w:p>
          <w:p>
            <w:pPr>
              <w:spacing w:after="160"/>
            </w:pPr>
            <w:r>
              <w:rPr>
                <w:rStyle w:val="row-content-rich-text"/>
              </w:rPr>
              <w:t xml:space="preserve">Use for patients where the public hospital fees and charges associated with this episode of care are covered by the Defence Forces.</w:t>
            </w:r>
          </w:p>
          <w:p>
            <w:pPr>
              <w:spacing w:after="160"/>
            </w:pPr>
            <w:r>
              <w:rPr>
                <w:rStyle w:val="row-content-rich-text"/>
              </w:rPr>
              <w:t xml:space="preserve">CODE ASX     Asylum seeker</w:t>
            </w:r>
          </w:p>
          <w:p>
            <w:pPr>
              <w:spacing w:after="160"/>
            </w:pPr>
            <w:r>
              <w:rPr>
                <w:rStyle w:val="row-content-rich-text"/>
              </w:rPr>
              <w:t xml:space="preserve">An asylum seeker is deemed to be any person who has a current request for protection that is being assessed by the Australian Government. These patients are Medicare ineligible through being non-resident of Australia and not covered by the Reciprocal Health Care Agreements Australia has with other countries. Other Agencies have agreed to fund the public hospital event (admitted or non-admitted). If they are successful they are offered protection and refugee status. This determination can take many years and during which time the applicant is classed as an asylum seeker.</w:t>
            </w:r>
          </w:p>
          <w:p>
            <w:pPr>
              <w:spacing w:after="160"/>
            </w:pPr>
            <w:r>
              <w:rPr>
                <w:rStyle w:val="row-content-rich-text"/>
              </w:rPr>
              <w:t xml:space="preserve">CODE BOARD     Boarder</w:t>
            </w:r>
          </w:p>
          <w:p>
            <w:pPr>
              <w:spacing w:after="160"/>
            </w:pPr>
            <w:r>
              <w:rPr>
                <w:rStyle w:val="row-content-rich-text"/>
              </w:rPr>
              <w:t xml:space="preserve">Use for persons who are receiving food and/or accommodation at the hospital but for whom the hospital does not accept responsibility for treatment and/or care.</w:t>
            </w:r>
          </w:p>
          <w:p>
            <w:pPr>
              <w:spacing w:after="160"/>
            </w:pPr>
            <w:r>
              <w:rPr>
                <w:rStyle w:val="row-content-rich-text"/>
              </w:rPr>
              <w:t xml:space="preserve">CODE CLW     Common law</w:t>
            </w:r>
          </w:p>
          <w:p>
            <w:pPr>
              <w:spacing w:after="160"/>
            </w:pPr>
            <w:r>
              <w:rPr>
                <w:rStyle w:val="row-content-rich-text"/>
              </w:rPr>
              <w:t xml:space="preserve">Used for all patients who are or may be legally entitled to claim damages under public liability or common law.</w:t>
            </w:r>
          </w:p>
          <w:p>
            <w:pPr>
              <w:spacing w:after="160"/>
            </w:pPr>
            <w:r>
              <w:rPr>
                <w:rStyle w:val="row-content-rich-text"/>
              </w:rPr>
              <w:t xml:space="preserve">CODE CSAI     Contracted services in</w:t>
            </w:r>
          </w:p>
          <w:p>
            <w:pPr>
              <w:spacing w:after="160"/>
            </w:pPr>
            <w:r>
              <w:rPr>
                <w:rStyle w:val="row-content-rich-text"/>
              </w:rPr>
              <w:t xml:space="preserve">Use for patients who's care is provided by the public facility as a private facility does not have the necessary equipment or facilities for the patients care. The private facility has agreed to accept responsibility for the public hospital fees charges.</w:t>
            </w:r>
          </w:p>
          <w:p>
            <w:pPr>
              <w:spacing w:after="160"/>
            </w:pPr>
            <w:r>
              <w:rPr>
                <w:rStyle w:val="row-content-rich-text"/>
              </w:rPr>
              <w:t xml:space="preserve">CODE CSAO     Outsourced contract services</w:t>
            </w:r>
          </w:p>
          <w:p>
            <w:pPr>
              <w:spacing w:after="160"/>
            </w:pPr>
            <w:r>
              <w:rPr>
                <w:rStyle w:val="row-content-rich-text"/>
              </w:rPr>
              <w:t xml:space="preserve">Use for patients who have elected to receive treatment as a public patient in a private facility because the procedure, treatment or services in not performed at the public facility. These patients cannot be any other calssification other then Public.</w:t>
            </w:r>
          </w:p>
          <w:p>
            <w:pPr>
              <w:spacing w:after="160"/>
            </w:pPr>
            <w:r>
              <w:rPr>
                <w:rStyle w:val="row-content-rich-text"/>
              </w:rPr>
              <w:t xml:space="preserve">CODE DVA     Department of Veterans' Affairs</w:t>
            </w:r>
          </w:p>
          <w:p>
            <w:pPr>
              <w:spacing w:after="160"/>
            </w:pPr>
            <w:r>
              <w:rPr>
                <w:rStyle w:val="row-content-rich-text"/>
              </w:rPr>
              <w:t xml:space="preserve">Use where the Department of Veterans' Affairs has agreed to accept responsibility for hospital fees and charges for the procedure, treatment or services being received.  </w:t>
            </w:r>
          </w:p>
          <w:p>
            <w:pPr>
              <w:spacing w:after="160"/>
            </w:pPr>
            <w:r>
              <w:rPr>
                <w:rStyle w:val="row-content-rich-text"/>
              </w:rPr>
              <w:t xml:space="preserve">CODE DVAHT     Department of Veterans' Affairs - nursing home type</w:t>
            </w:r>
          </w:p>
          <w:p>
            <w:pPr>
              <w:spacing w:after="160"/>
            </w:pPr>
            <w:r>
              <w:rPr>
                <w:rStyle w:val="row-content-rich-text"/>
              </w:rPr>
              <w:t xml:space="preserve">Use for nursing home type patients were the Department of Veterans' Affairs has agreed to accept responsibility for hospital fees and charges for the procedure, treatment or service. </w:t>
            </w:r>
          </w:p>
          <w:p>
            <w:pPr>
              <w:spacing w:after="160"/>
            </w:pPr>
            <w:r>
              <w:rPr>
                <w:rStyle w:val="row-content-rich-text"/>
              </w:rPr>
              <w:t xml:space="preserve">CODE HPH     Hobart Private patient</w:t>
            </w:r>
          </w:p>
          <w:p>
            <w:pPr>
              <w:spacing w:after="160"/>
            </w:pPr>
            <w:r>
              <w:rPr>
                <w:rStyle w:val="row-content-rich-text"/>
              </w:rPr>
              <w:t xml:space="preserve">These patients are persons who's care is provided by the public facility but the Hobart Private Hospital has agreed to accept responsibility for the public fees and hospital charges.</w:t>
            </w:r>
          </w:p>
          <w:p>
            <w:pPr>
              <w:spacing w:after="160"/>
            </w:pPr>
            <w:r>
              <w:rPr>
                <w:rStyle w:val="row-content-rich-text"/>
              </w:rPr>
              <w:t xml:space="preserve">CODE MBB     Bulk billed (outside referred patient)</w:t>
            </w:r>
          </w:p>
          <w:p>
            <w:pPr>
              <w:spacing w:after="160"/>
            </w:pPr>
            <w:r>
              <w:rPr>
                <w:rStyle w:val="row-content-rich-text"/>
              </w:rPr>
              <w:t xml:space="preserve">These patients are persons who are referred to a specialist medical practitioner or medical service from a General Practitioner for a non-admitted consultation or a procedure including radiology and pathology.</w:t>
            </w:r>
          </w:p>
          <w:p>
            <w:pPr>
              <w:spacing w:after="160"/>
            </w:pPr>
            <w:r>
              <w:rPr>
                <w:rStyle w:val="row-content-rich-text"/>
              </w:rPr>
              <w:t xml:space="preserve">CODE MVA     Motor vehicle accident</w:t>
            </w:r>
          </w:p>
          <w:p>
            <w:pPr>
              <w:spacing w:after="160"/>
            </w:pPr>
            <w:r>
              <w:rPr>
                <w:rStyle w:val="row-content-rich-text"/>
              </w:rPr>
              <w:t xml:space="preserve">Use where the patient is or may be legally entitled to claim damages and hospital fees and charges against the Motor Accidents Insurance Board (MAIB).</w:t>
            </w:r>
          </w:p>
          <w:p>
            <w:pPr>
              <w:spacing w:after="160"/>
            </w:pPr>
            <w:r>
              <w:rPr>
                <w:rStyle w:val="row-content-rich-text"/>
              </w:rPr>
              <w:t xml:space="preserve">CODE NB     Newborn unqualified</w:t>
            </w:r>
          </w:p>
          <w:p>
            <w:pPr>
              <w:spacing w:after="160"/>
            </w:pPr>
            <w:r>
              <w:rPr>
                <w:rStyle w:val="row-content-rich-text"/>
              </w:rPr>
              <w:t xml:space="preserve">Use if the unqualified newborn is nine days old or less and does not meet the criteria for being admitted under the care type Acute incl qual newborn.</w:t>
            </w:r>
          </w:p>
          <w:p>
            <w:pPr>
              <w:spacing w:after="160"/>
            </w:pPr>
            <w:r>
              <w:rPr>
                <w:rStyle w:val="row-content-rich-text"/>
              </w:rPr>
              <w:t xml:space="preserve">A qualified newborn will usually take the Medicare eligibility status of the mother.</w:t>
            </w:r>
          </w:p>
          <w:p>
            <w:pPr>
              <w:spacing w:after="160"/>
            </w:pPr>
            <w:r>
              <w:rPr>
                <w:rStyle w:val="row-content-rich-text"/>
              </w:rPr>
              <w:t xml:space="preserve">Stillborn babies are not admitted, but should be registered (providing this meets the Tasmanian Births, Deaths and Marriages Registration Act 1999). </w:t>
            </w:r>
          </w:p>
          <w:p>
            <w:pPr>
              <w:spacing w:after="160"/>
            </w:pPr>
            <w:r>
              <w:rPr>
                <w:rStyle w:val="row-content-rich-text"/>
              </w:rPr>
              <w:t xml:space="preserve">CODE ORP     Outside referred patient (inpatient)</w:t>
            </w:r>
          </w:p>
          <w:p>
            <w:pPr>
              <w:spacing w:after="160"/>
            </w:pPr>
            <w:r>
              <w:rPr>
                <w:rStyle w:val="row-content-rich-text"/>
              </w:rPr>
              <w:t xml:space="preserve">Use for patients who are referred to a specialist medical practitioner by name from a General Practitioner for a non-admitted consultation or procedure.  These patients are admitted on the hospital's Patient Administration System to ensure the recording of clinical data and classified ORP (Outside Patient Referred).</w:t>
            </w:r>
          </w:p>
          <w:p>
            <w:pPr>
              <w:spacing w:after="160"/>
            </w:pPr>
            <w:r>
              <w:rPr>
                <w:rStyle w:val="row-content-rich-text"/>
              </w:rPr>
              <w:t xml:space="preserve">CODE OSS     Overseas - student</w:t>
            </w:r>
          </w:p>
          <w:p>
            <w:pPr>
              <w:spacing w:after="160"/>
            </w:pPr>
            <w:r>
              <w:rPr>
                <w:rStyle w:val="row-content-rich-text"/>
              </w:rPr>
              <w:t xml:space="preserve">Use for patients who are Medicare ineligible as they are non-resident of Australia and have Overseas Student Health Cover (OSHC). Hospital fees and charges are covered by the Patient and the OSHC health insurer  </w:t>
            </w:r>
          </w:p>
          <w:p>
            <w:pPr>
              <w:spacing w:after="160"/>
            </w:pPr>
            <w:r>
              <w:rPr>
                <w:rStyle w:val="row-content-rich-text"/>
              </w:rPr>
              <w:t xml:space="preserve">CODE OSV     Overseas - Reciprocal Health Care Agreements (HCA)</w:t>
            </w:r>
          </w:p>
          <w:p>
            <w:pPr>
              <w:spacing w:after="160"/>
            </w:pPr>
            <w:r>
              <w:rPr>
                <w:rStyle w:val="row-content-rich-text"/>
              </w:rPr>
              <w:t xml:space="preserve">Australia has Reciprocal Health Care Agreements with the United Kingdom, the Netherlands, Italy, Malta, Sweden, Finland, Norway, New Zealand and Ireland. Patients from these countries have the choice to receive free accommodation and treatment as public hospital services. The agreements do not cover treatment for persons that elect to be treated as a private patient.</w:t>
            </w:r>
          </w:p>
          <w:p>
            <w:pPr>
              <w:pStyle w:val="ListParagraph"/>
              <w:numPr>
                <w:ilvl w:val="0"/>
                <w:numId w:val="2"/>
              </w:numPr>
            </w:pPr>
            <w:r>
              <w:rPr>
                <w:rStyle w:val="row-content-rich-text"/>
              </w:rPr>
              <w:t xml:space="preserve">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pStyle w:val="ListParagraph"/>
              <w:numPr>
                <w:ilvl w:val="0"/>
                <w:numId w:val="2"/>
              </w:numPr>
            </w:pPr>
            <w:r>
              <w:rPr>
                <w:rStyle w:val="row-content-rich-text"/>
              </w:rPr>
              <w:t xml:space="preserve">All foreign students studying in Australia, with the exception from Norway and Sweden, are required to take out Overseas Student Health Cover (OSHC). Students from Norway and Sweden are not required to have OSHC provided they and their dependents hold appropriate health insurance from their own country.</w:t>
            </w:r>
          </w:p>
          <w:p>
            <w:pPr>
              <w:pStyle w:val="ListParagraph"/>
              <w:numPr>
                <w:ilvl w:val="0"/>
                <w:numId w:val="2"/>
              </w:numPr>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pStyle w:val="ListParagraph"/>
              <w:numPr>
                <w:ilvl w:val="0"/>
                <w:numId w:val="2"/>
              </w:numPr>
            </w:pPr>
            <w:r>
              <w:rPr>
                <w:rStyle w:val="row-content-rich-text"/>
              </w:rPr>
              <w:t xml:space="preserve">Visitors from Italy and Malta are covered for a period of six months from the date of arrival in Australia only.</w:t>
            </w:r>
          </w:p>
          <w:p>
            <w:pPr>
              <w:pStyle w:val="ListParagraph"/>
              <w:numPr>
                <w:ilvl w:val="0"/>
                <w:numId w:val="2"/>
              </w:numPr>
            </w:pPr>
            <w:r>
              <w:rPr>
                <w:rStyle w:val="row-content-rich-text"/>
              </w:rPr>
              <w:t xml:space="preserve">Patients with retirement visas (class 410 visas) from RHCA countries are entitled to make a choice between whether they access RHCA for equivalent benefits and seek an exemption from the Medicare levy.</w:t>
            </w:r>
          </w:p>
          <w:p>
            <w:pPr>
              <w:spacing w:after="160"/>
            </w:pPr>
            <w:r>
              <w:rPr>
                <w:rStyle w:val="row-content-rich-text"/>
              </w:rPr>
              <w:t xml:space="preserve">Excludes: Overseas visitors from HCA countries who elect to be treated as private patients.</w:t>
            </w:r>
          </w:p>
          <w:p>
            <w:pPr>
              <w:spacing w:after="160"/>
            </w:pPr>
            <w:r>
              <w:rPr>
                <w:rStyle w:val="row-content-rich-text"/>
              </w:rPr>
              <w:t xml:space="preserve">CODE OSVNO     Overseas - without Reciprocal Health Care Agreements (HCA)</w:t>
            </w:r>
          </w:p>
          <w:p>
            <w:pPr>
              <w:spacing w:after="160"/>
            </w:pPr>
            <w:r>
              <w:rPr>
                <w:rStyle w:val="row-content-rich-text"/>
              </w:rPr>
              <w:t xml:space="preserve">Use for patients who are Medicare ineligible as they are non-resident of Australia and do not come from a country that has Reciprocal Health Care Agreements (HCA) with Australia.  It is the responsibility of the patients to ensure that they have health insurance cover or adequate money to cover the cost of there health care.</w:t>
            </w:r>
          </w:p>
          <w:p>
            <w:pPr>
              <w:spacing w:after="160"/>
            </w:pPr>
            <w:r>
              <w:rPr>
                <w:rStyle w:val="row-content-rich-text"/>
              </w:rPr>
              <w:t xml:space="preserve">CODE PNH     Public - nursing home type</w:t>
            </w:r>
          </w:p>
          <w:p>
            <w:pPr>
              <w:spacing w:after="160"/>
            </w:pPr>
            <w:r>
              <w:rPr>
                <w:rStyle w:val="row-content-rich-text"/>
              </w:rPr>
              <w:t xml:space="preserve">These patients are persons who have elected to be receive treatment free of fees and charge but require nursing home care.   These patients are required to pay a fee while admitted in a public hospital in the same way as residents in nursing homes do.</w:t>
            </w:r>
          </w:p>
          <w:p>
            <w:pPr>
              <w:spacing w:after="160"/>
            </w:pPr>
            <w:r>
              <w:rPr>
                <w:rStyle w:val="row-content-rich-text"/>
              </w:rPr>
              <w:t xml:space="preserve">By definition, a NHTP is a patient who has been in hospital for a continuous period exceeding 35 days and does not have a current Acute Care Certificate issued by a medical officer.</w:t>
            </w:r>
          </w:p>
          <w:p>
            <w:pPr>
              <w:spacing w:after="160"/>
            </w:pPr>
            <w:r>
              <w:rPr>
                <w:rStyle w:val="row-content-rich-text"/>
              </w:rPr>
              <w:t xml:space="preserve">CODE PRIS     Prisoner</w:t>
            </w:r>
          </w:p>
          <w:p>
            <w:pPr>
              <w:spacing w:after="160"/>
            </w:pPr>
            <w:r>
              <w:rPr>
                <w:rStyle w:val="row-content-rich-text"/>
              </w:rPr>
              <w:t xml:space="preserve">If a prisoner has a health issue that cannot be treated at the prison.  The Prison Service, Department of Justice  has agreed to accept responsibility for hospital fees and charges for the procedure, treatment or service.</w:t>
            </w:r>
          </w:p>
          <w:p>
            <w:pPr>
              <w:spacing w:after="160"/>
            </w:pPr>
            <w:r>
              <w:rPr>
                <w:rStyle w:val="row-content-rich-text"/>
              </w:rPr>
              <w:t xml:space="preserve">CODE PRIVNH     Private - nursing home type</w:t>
            </w:r>
          </w:p>
          <w:p>
            <w:pPr>
              <w:spacing w:after="160"/>
            </w:pPr>
            <w:r>
              <w:rPr>
                <w:rStyle w:val="row-content-rich-text"/>
              </w:rPr>
              <w:t xml:space="preserve">On admission to hospital, a Medicare eligible patient must elect to be as either a public or private patients. These patients are persons who have elected to be receive treatment by a doctor of choice and that doctor is exercising their ‘right of private practice’ within a public hospital and any fees and charges (other than agreed gap payments) covered by their health insurer, but only require nursing home care.   These patients are required to pay a fee while admitted in a public hospital in the same way as residents in nursing homes do.  This charge is normally covered by the Health Insurer.</w:t>
            </w:r>
          </w:p>
          <w:p>
            <w:pPr>
              <w:spacing w:after="160"/>
            </w:pPr>
            <w:r>
              <w:rPr>
                <w:rStyle w:val="row-content-rich-text"/>
              </w:rPr>
              <w:t xml:space="preserve">By definition, a NHTP is a patient who has been in hospital for a continuous period exceeding 35 days and does not have a current Acute Care Certificate issued by a medical officer.</w:t>
            </w:r>
          </w:p>
          <w:p>
            <w:pPr>
              <w:spacing w:after="160"/>
            </w:pPr>
            <w:r>
              <w:rPr>
                <w:rStyle w:val="row-content-rich-text"/>
              </w:rPr>
              <w:t xml:space="preserve">CODE PRIVO     Private - overnight</w:t>
            </w:r>
          </w:p>
          <w:p>
            <w:pPr>
              <w:spacing w:after="160"/>
            </w:pPr>
            <w:r>
              <w:rPr>
                <w:rStyle w:val="row-content-rich-text"/>
              </w:rPr>
              <w:t xml:space="preserve">On admission to hospital, a Medicare eligible patient must elect to be as either a public or private patients. These patients are persons who have elected to receive treatment by a doctor of choice and that doctor is exercising their ‘right of private practice’ within a public hospital and any fees and charges (other than agreed gap payments) covered by their health insurer.  An overnight stay patient is a patient who is admitted to and separated from the hospital on different dates.</w:t>
            </w:r>
          </w:p>
          <w:p>
            <w:pPr>
              <w:spacing w:after="160"/>
            </w:pPr>
            <w:r>
              <w:rPr>
                <w:rStyle w:val="row-content-rich-text"/>
              </w:rPr>
              <w:t xml:space="preserve">CODE PRIVSD     Private - same day</w:t>
            </w:r>
          </w:p>
          <w:p>
            <w:pPr>
              <w:spacing w:after="160"/>
            </w:pPr>
            <w:r>
              <w:rPr>
                <w:rStyle w:val="row-content-rich-text"/>
              </w:rPr>
              <w:t xml:space="preserve">On admission to hospital, a Medicare eligible patient must elect to be as either a public or private patients. These patients are persons who have elected to receive treatment by a doctor of choice and that doctor is exercising their ‘right of private practice’ within a public hospital and any fees and charges (other than agreed gap payments) covered by their health insurer.  An same day patient is a patient who is admitted to and separated from the hospital on the same dates.</w:t>
            </w:r>
          </w:p>
          <w:p>
            <w:pPr>
              <w:spacing w:after="160"/>
            </w:pPr>
            <w:r>
              <w:rPr>
                <w:rStyle w:val="row-content-rich-text"/>
              </w:rPr>
              <w:t xml:space="preserve">CODE PUB     Public</w:t>
            </w:r>
          </w:p>
          <w:p>
            <w:pPr>
              <w:spacing w:after="160"/>
            </w:pPr>
            <w:r>
              <w:rPr>
                <w:rStyle w:val="row-content-rich-text"/>
              </w:rPr>
              <w:t xml:space="preserve">On admission to hospital, a Medicare eligible patient must elect to be as either a public or private patient.</w:t>
            </w:r>
          </w:p>
          <w:p>
            <w:pPr>
              <w:spacing w:after="160"/>
            </w:pPr>
            <w:r>
              <w:rPr>
                <w:rStyle w:val="row-content-rich-text"/>
              </w:rPr>
              <w:t xml:space="preserve">A public patient is a patient who:</w:t>
            </w:r>
          </w:p>
          <w:p>
            <w:pPr>
              <w:pStyle w:val="ListParagraph"/>
              <w:numPr>
                <w:ilvl w:val="0"/>
                <w:numId w:val="3"/>
              </w:numPr>
            </w:pPr>
            <w:r>
              <w:rPr>
                <w:rStyle w:val="row-content-rich-text"/>
              </w:rPr>
              <w:t xml:space="preserve">Elects to be treated as a public patient, and so cannot choose the doctor who treats them, or</w:t>
            </w:r>
          </w:p>
          <w:p>
            <w:pPr>
              <w:pStyle w:val="ListParagraph"/>
              <w:numPr>
                <w:ilvl w:val="0"/>
                <w:numId w:val="3"/>
              </w:numPr>
            </w:pPr>
            <w:r>
              <w:rPr>
                <w:rStyle w:val="row-content-rich-text"/>
              </w:rPr>
              <w:t xml:space="preserve">Is receiving treatment in a private hospital under a contract arrangement with a public hospital or health authority.</w:t>
            </w:r>
          </w:p>
          <w:p>
            <w:pPr>
              <w:spacing w:after="160"/>
            </w:pPr>
            <w:r>
              <w:rPr>
                <w:rStyle w:val="row-content-rich-text"/>
              </w:rPr>
              <w:t xml:space="preserve">A public patient who is allocated single room accommodation due to clinical need is still a public patient</w:t>
            </w:r>
          </w:p>
          <w:p>
            <w:pPr>
              <w:spacing w:after="160"/>
            </w:pPr>
            <w:r>
              <w:rPr>
                <w:rStyle w:val="row-content-rich-text"/>
              </w:rPr>
              <w:t xml:space="preserve">CODE PUBHOME     Public - hospital in the home</w:t>
            </w:r>
          </w:p>
          <w:p>
            <w:pPr>
              <w:spacing w:after="160"/>
            </w:pPr>
            <w:r>
              <w:rPr>
                <w:rStyle w:val="row-content-rich-text"/>
              </w:rPr>
              <w:t xml:space="preserve">A public hospital in the home patient is a patient who, elects to be treated as a public patient, and the provision of acute care is in the comfort of the person's own residence or other suitable environment.</w:t>
            </w:r>
          </w:p>
          <w:p>
            <w:pPr>
              <w:spacing w:after="160"/>
            </w:pPr>
            <w:r>
              <w:rPr>
                <w:rStyle w:val="row-content-rich-text"/>
              </w:rPr>
              <w:t xml:space="preserve">CODE RESI     Residential - aged care</w:t>
            </w:r>
          </w:p>
          <w:p>
            <w:pPr>
              <w:spacing w:after="160"/>
            </w:pPr>
            <w:r>
              <w:rPr>
                <w:rStyle w:val="row-content-rich-text"/>
              </w:rPr>
              <w:t xml:space="preserve">Use for residential - aged care patients only.</w:t>
            </w:r>
          </w:p>
          <w:p>
            <w:pPr>
              <w:spacing w:after="160"/>
            </w:pPr>
            <w:r>
              <w:rPr>
                <w:rStyle w:val="row-content-rich-text"/>
              </w:rPr>
              <w:t xml:space="preserve">CODE RESP     Residential - respite care</w:t>
            </w:r>
          </w:p>
          <w:p>
            <w:pPr>
              <w:spacing w:after="160"/>
            </w:pPr>
            <w:r>
              <w:rPr>
                <w:rStyle w:val="row-content-rich-text"/>
              </w:rPr>
              <w:t xml:space="preserve">Use for residential - respite care patients only.</w:t>
            </w:r>
          </w:p>
          <w:p>
            <w:pPr>
              <w:spacing w:after="160"/>
            </w:pPr>
            <w:r>
              <w:rPr>
                <w:rStyle w:val="row-content-rich-text"/>
              </w:rPr>
              <w:t xml:space="preserve">CODE SEA     Seamen</w:t>
            </w:r>
          </w:p>
          <w:p>
            <w:pPr>
              <w:spacing w:after="160"/>
            </w:pPr>
            <w:r>
              <w:rPr>
                <w:rStyle w:val="row-content-rich-text"/>
              </w:rPr>
              <w:t xml:space="preserve">Use where the costs associated with this episode of care is covered by seaman insurance.</w:t>
            </w:r>
          </w:p>
          <w:p>
            <w:pPr>
              <w:spacing w:after="160"/>
            </w:pPr>
            <w:r>
              <w:rPr>
                <w:rStyle w:val="row-content-rich-text"/>
              </w:rPr>
              <w:t xml:space="preserve">CODE SFO     Self funded - overnight</w:t>
            </w:r>
          </w:p>
          <w:p>
            <w:pPr>
              <w:spacing w:after="160"/>
            </w:pPr>
            <w:r>
              <w:rPr>
                <w:rStyle w:val="row-content-rich-text"/>
              </w:rPr>
              <w:t xml:space="preserve">Use where the costs associated with this overnight episode of care is to be covered by the patient themselves.</w:t>
            </w:r>
          </w:p>
          <w:p>
            <w:pPr>
              <w:spacing w:after="160"/>
            </w:pPr>
            <w:r>
              <w:rPr>
                <w:rStyle w:val="row-content-rich-text"/>
              </w:rPr>
              <w:t xml:space="preserve">CODE SFSD     Self funded - same day</w:t>
            </w:r>
          </w:p>
          <w:p>
            <w:pPr>
              <w:spacing w:after="160"/>
            </w:pPr>
            <w:r>
              <w:rPr>
                <w:rStyle w:val="row-content-rich-text"/>
              </w:rPr>
              <w:t xml:space="preserve">Use where the costs associated with this same day episode of care is to be covered by the patient themselves.</w:t>
            </w:r>
          </w:p>
          <w:p>
            <w:pPr>
              <w:spacing w:after="160"/>
            </w:pPr>
            <w:r>
              <w:rPr>
                <w:rStyle w:val="row-content-rich-text"/>
              </w:rPr>
              <w:t xml:space="preserve">CODE  TRANS    Transitional Care Program</w:t>
            </w:r>
          </w:p>
          <w:p>
            <w:pPr>
              <w:spacing w:after="160"/>
            </w:pPr>
            <w:r>
              <w:rPr>
                <w:rStyle w:val="row-content-rich-text"/>
              </w:rPr>
              <w:t xml:space="preserve">Only to be used for patients who are participating in the Transitional Care Program.</w:t>
            </w:r>
          </w:p>
          <w:p>
            <w:pPr>
              <w:spacing w:after="160"/>
            </w:pPr>
            <w:r>
              <w:rPr>
                <w:rStyle w:val="row-content-rich-text"/>
              </w:rPr>
              <w:t xml:space="preserve">CODE WC     Worker's compensation</w:t>
            </w:r>
          </w:p>
          <w:p>
            <w:pPr>
              <w:spacing w:after="160"/>
            </w:pPr>
            <w:r>
              <w:rPr>
                <w:rStyle w:val="row-content-rich-text"/>
              </w:rPr>
              <w:t xml:space="preserve">Use where the costs associated with this episode of care is covered by workers' compensation insurance.</w:t>
            </w:r>
          </w:p>
          <w:p>
            <w:pPr>
              <w:spacing w:after="160"/>
            </w:pPr>
            <w:r>
              <w:rPr>
                <w:rStyle w:val="row-content-rich-text"/>
              </w:rPr>
              <w:t xml:space="preserve">CODE WCS     Worker's compensation - staff</w:t>
            </w:r>
          </w:p>
          <w:p>
            <w:pPr>
              <w:spacing w:after="160"/>
            </w:pPr>
            <w:r>
              <w:rPr>
                <w:rStyle w:val="row-content-rich-text"/>
              </w:rPr>
              <w:t xml:space="preserve">Use where the costs associated with this episode of care is covered by staff workers' compensation insurance.</w:t>
            </w:r>
          </w:p>
          <w:p>
            <w:pPr>
              <w:spacing w:after="160"/>
            </w:pPr>
            <w:r>
              <w:rPr>
                <w:rStyle w:val="row-content-rich-text"/>
              </w:rPr>
              <w:t xml:space="preserve">CODE UNK     Unknown</w:t>
            </w:r>
          </w:p>
          <w:p>
            <w:pPr/>
            <w:r>
              <w:rPr>
                <w:rStyle w:val="row-content-rich-text"/>
              </w:rPr>
              <w:t xml:space="preserve">Not to be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eb1d13ad054852">
              <w:r>
                <w:rPr>
                  <w:rStyle w:val="Hyperlink"/>
                </w:rPr>
                <w:t xml:space="preserve">Episode of care—source of funding, Tasmanian code XX[AAAAA]</w:t>
              </w:r>
            </w:hyperlink>
          </w:p>
          <w:p>
            <w:pPr>
              <w:pStyle w:val="registration-status"/>
              <w:spacing w:before="0" w:after="0"/>
            </w:pPr>
            <w:hyperlink w:history="true" r:id="Rcc7b01a27e9b40cf">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65db20d6ae8a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8432cb46d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db20d6ae8a4bef" /><Relationship Type="http://schemas.openxmlformats.org/officeDocument/2006/relationships/header" Target="/word/header1.xml" Id="R2cdcc63257274f2b" /><Relationship Type="http://schemas.openxmlformats.org/officeDocument/2006/relationships/settings" Target="/word/settings.xml" Id="R02ffaefdfdc040d6" /><Relationship Type="http://schemas.openxmlformats.org/officeDocument/2006/relationships/styles" Target="/word/styles.xml" Id="Re3bb96ebec384171" /><Relationship Type="http://schemas.openxmlformats.org/officeDocument/2006/relationships/numbering" Target="/word/numbering.xml" Id="Rc7ce803685394211" /><Relationship Type="http://schemas.openxmlformats.org/officeDocument/2006/relationships/hyperlink" Target="https://meteor.aihw.gov.au/RegistrationAuthority/15" TargetMode="External" Id="R17e6329713dd4788" /><Relationship Type="http://schemas.openxmlformats.org/officeDocument/2006/relationships/hyperlink" Target="https://meteor.aihw.gov.au/content/417677" TargetMode="External" Id="R0feb1d13ad054852" /><Relationship Type="http://schemas.openxmlformats.org/officeDocument/2006/relationships/hyperlink" Target="https://meteor.aihw.gov.au/RegistrationAuthority/15" TargetMode="External" Id="Rcc7b01a27e9b40cf" /></Relationships>
</file>

<file path=word/_rels/header1.xml.rels>&#65279;<?xml version="1.0" encoding="utf-8"?><Relationships xmlns="http://schemas.openxmlformats.org/package/2006/relationships"><Relationship Type="http://schemas.openxmlformats.org/officeDocument/2006/relationships/image" Target="/media/image.png" Id="R2268432cb46d40ac" /></Relationships>
</file>